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hint="default" w:ascii="Times New Roman" w:hAnsi="Times New Roman" w:cs="Times New Roman"/>
        </w:rPr>
      </w:pPr>
      <w:bookmarkStart w:id="0" w:name="OLE_LINK33"/>
      <w:bookmarkStart w:id="1" w:name="OLE_LINK13"/>
      <w:bookmarkStart w:id="2" w:name="OLE_LINK12"/>
      <w:bookmarkStart w:id="3" w:name="OLE_LINK34"/>
      <w:bookmarkStart w:id="4" w:name="OLE_LINK24"/>
      <w:r>
        <w:rPr>
          <w:rFonts w:hint="default" w:ascii="Times New Roman" w:hAnsi="Times New Roman" w:cs="Times New Roman"/>
          <w:b/>
        </w:rPr>
        <w:t>3GPP TSG RAN WG1 #112                                                  R1-2300806</w:t>
      </w:r>
    </w:p>
    <w:p>
      <w:pPr>
        <w:tabs>
          <w:tab w:val="center" w:pos="4536"/>
          <w:tab w:val="right" w:pos="8280"/>
          <w:tab w:val="right" w:pos="9639"/>
        </w:tabs>
        <w:snapToGrid w:val="0"/>
        <w:spacing w:after="0" w:line="240" w:lineRule="auto"/>
        <w:ind w:left="442" w:right="2" w:hanging="442" w:hangingChars="200"/>
        <w:jc w:val="both"/>
        <w:rPr>
          <w:rFonts w:hint="default" w:ascii="Times New Roman" w:hAnsi="Times New Roman" w:cs="Times New Roman"/>
          <w:b/>
        </w:rPr>
      </w:pPr>
      <w:r>
        <w:rPr>
          <w:rFonts w:hint="default" w:ascii="Times New Roman" w:hAnsi="Times New Roman" w:cs="Times New Roman"/>
          <w:b/>
        </w:rPr>
        <w:t>Athens</w:t>
      </w:r>
      <w:r>
        <w:rPr>
          <w:rFonts w:hint="default" w:ascii="Times New Roman" w:hAnsi="Times New Roman" w:cs="Times New Roman"/>
          <w:b/>
          <w:lang w:eastAsia="ja-JP"/>
        </w:rPr>
        <w:t xml:space="preserve">, </w:t>
      </w:r>
      <w:r>
        <w:rPr>
          <w:rFonts w:hint="default" w:ascii="Times New Roman" w:hAnsi="Times New Roman" w:cs="Times New Roman"/>
          <w:b/>
        </w:rPr>
        <w:t>Greece</w:t>
      </w:r>
      <w:r>
        <w:rPr>
          <w:rFonts w:hint="default" w:ascii="Times New Roman" w:hAnsi="Times New Roman" w:cs="Times New Roman"/>
          <w:b/>
          <w:lang w:eastAsia="ja-JP"/>
        </w:rPr>
        <w:t>, Feb 27</w:t>
      </w:r>
      <w:r>
        <w:rPr>
          <w:rFonts w:hint="default" w:ascii="Times New Roman" w:hAnsi="Times New Roman" w:cs="Times New Roman"/>
          <w:b/>
          <w:vertAlign w:val="superscript"/>
          <w:lang w:eastAsia="ja-JP"/>
        </w:rPr>
        <w:t>th</w:t>
      </w:r>
      <w:r>
        <w:rPr>
          <w:rFonts w:hint="default" w:ascii="Times New Roman" w:hAnsi="Times New Roman" w:cs="Times New Roman"/>
          <w:b/>
        </w:rPr>
        <w:t xml:space="preserve"> - </w:t>
      </w:r>
      <w:r>
        <w:rPr>
          <w:rFonts w:hint="default" w:ascii="Times New Roman" w:hAnsi="Times New Roman" w:cs="Times New Roman"/>
          <w:b/>
          <w:lang w:eastAsia="ja-JP"/>
        </w:rPr>
        <w:t>Mar 3</w:t>
      </w:r>
      <w:r>
        <w:rPr>
          <w:rFonts w:hint="default" w:ascii="Times New Roman" w:hAnsi="Times New Roman" w:cs="Times New Roman"/>
          <w:b/>
          <w:vertAlign w:val="superscript"/>
          <w:lang w:eastAsia="ja-JP"/>
        </w:rPr>
        <w:t>rd</w:t>
      </w:r>
      <w:r>
        <w:rPr>
          <w:rFonts w:hint="default" w:ascii="Times New Roman" w:hAnsi="Times New Roman" w:cs="Times New Roman"/>
          <w:b/>
          <w:lang w:eastAsia="ja-JP"/>
        </w:rPr>
        <w:t>, 2023</w:t>
      </w:r>
    </w:p>
    <w:p>
      <w:pPr>
        <w:tabs>
          <w:tab w:val="center" w:pos="4536"/>
          <w:tab w:val="right" w:pos="8280"/>
          <w:tab w:val="right" w:pos="9639"/>
        </w:tabs>
        <w:snapToGrid w:val="0"/>
        <w:spacing w:after="0" w:line="240" w:lineRule="auto"/>
        <w:ind w:left="442" w:right="2" w:hanging="442" w:hangingChars="200"/>
        <w:jc w:val="both"/>
        <w:rPr>
          <w:rFonts w:hint="default" w:ascii="Times New Roman" w:hAnsi="Times New Roman" w:eastAsia="宋体" w:cs="Times New Roman"/>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hint="default" w:ascii="Times New Roman" w:hAnsi="Times New Roman" w:cs="Times New Roman"/>
          <w:b/>
          <w:highlight w:val="none"/>
        </w:rPr>
      </w:pPr>
      <w:bookmarkStart w:id="5" w:name="OLE_LINK1"/>
      <w:r>
        <w:rPr>
          <w:rFonts w:hint="default" w:ascii="Times New Roman" w:hAnsi="Times New Roman" w:cs="Times New Roman"/>
          <w:b/>
          <w:highlight w:val="none"/>
        </w:rPr>
        <w:t>Source:</w:t>
      </w:r>
      <w:r>
        <w:rPr>
          <w:rFonts w:hint="default" w:ascii="Times New Roman" w:hAnsi="Times New Roman" w:cs="Times New Roman"/>
          <w:b/>
          <w:highlight w:val="none"/>
        </w:rPr>
        <w:tab/>
      </w:r>
      <w:r>
        <w:rPr>
          <w:rFonts w:hint="default" w:ascii="Times New Roman" w:hAnsi="Times New Roman" w:cs="Times New Roman"/>
          <w:b/>
          <w:highlight w:val="none"/>
        </w:rPr>
        <w:t>ZTE</w:t>
      </w:r>
    </w:p>
    <w:p>
      <w:pPr>
        <w:pBdr>
          <w:bottom w:val="single" w:color="auto" w:sz="6" w:space="1"/>
        </w:pBdr>
        <w:snapToGrid w:val="0"/>
        <w:spacing w:after="0" w:line="240" w:lineRule="auto"/>
        <w:ind w:left="1797" w:hanging="1797"/>
        <w:jc w:val="both"/>
        <w:rPr>
          <w:rFonts w:hint="default" w:ascii="Times New Roman" w:hAnsi="Times New Roman" w:cs="Times New Roman"/>
          <w:b/>
          <w:highlight w:val="none"/>
        </w:rPr>
      </w:pPr>
      <w:r>
        <w:rPr>
          <w:rFonts w:hint="default" w:ascii="Times New Roman" w:hAnsi="Times New Roman" w:cs="Times New Roman"/>
          <w:b/>
          <w:highlight w:val="none"/>
        </w:rPr>
        <w:t>Title:</w:t>
      </w:r>
      <w:r>
        <w:rPr>
          <w:rFonts w:hint="default" w:ascii="Times New Roman" w:hAnsi="Times New Roman" w:cs="Times New Roman"/>
          <w:b/>
          <w:highlight w:val="none"/>
        </w:rPr>
        <w:tab/>
      </w:r>
      <w:r>
        <w:rPr>
          <w:rFonts w:hint="default" w:ascii="Times New Roman" w:hAnsi="Times New Roman" w:cs="Times New Roman"/>
          <w:b/>
          <w:highlight w:val="none"/>
        </w:rPr>
        <w:t>Discussion on low power high accuracy positioning</w:t>
      </w:r>
    </w:p>
    <w:p>
      <w:pPr>
        <w:pBdr>
          <w:bottom w:val="single" w:color="auto" w:sz="6" w:space="1"/>
        </w:pBdr>
        <w:snapToGrid w:val="0"/>
        <w:spacing w:after="0" w:line="240" w:lineRule="auto"/>
        <w:ind w:left="1797" w:hanging="1797"/>
        <w:jc w:val="both"/>
        <w:rPr>
          <w:rFonts w:hint="default" w:ascii="Times New Roman" w:hAnsi="Times New Roman" w:cs="Times New Roman"/>
          <w:b/>
          <w:highlight w:val="none"/>
        </w:rPr>
      </w:pPr>
      <w:r>
        <w:rPr>
          <w:rFonts w:hint="default" w:ascii="Times New Roman" w:hAnsi="Times New Roman" w:cs="Times New Roman"/>
          <w:b/>
          <w:highlight w:val="none"/>
        </w:rPr>
        <w:t>Agenda item:</w:t>
      </w:r>
      <w:r>
        <w:rPr>
          <w:rFonts w:hint="default" w:ascii="Times New Roman" w:hAnsi="Times New Roman" w:cs="Times New Roman"/>
          <w:b/>
          <w:highlight w:val="none"/>
        </w:rPr>
        <w:tab/>
      </w:r>
      <w:r>
        <w:rPr>
          <w:rFonts w:hint="default" w:ascii="Times New Roman" w:hAnsi="Times New Roman" w:cs="Times New Roman"/>
          <w:b/>
          <w:highlight w:val="none"/>
        </w:rPr>
        <w:t>9.5.3</w:t>
      </w:r>
    </w:p>
    <w:p>
      <w:pPr>
        <w:pBdr>
          <w:bottom w:val="single" w:color="auto" w:sz="6" w:space="1"/>
        </w:pBdr>
        <w:snapToGrid w:val="0"/>
        <w:spacing w:after="0" w:line="240" w:lineRule="auto"/>
        <w:ind w:left="1797" w:hanging="1797"/>
        <w:jc w:val="both"/>
        <w:rPr>
          <w:rFonts w:hint="default" w:ascii="Times New Roman" w:hAnsi="Times New Roman" w:cs="Times New Roman"/>
          <w:b/>
          <w:highlight w:val="none"/>
        </w:rPr>
      </w:pPr>
      <w:r>
        <w:rPr>
          <w:rFonts w:hint="default" w:ascii="Times New Roman" w:hAnsi="Times New Roman" w:cs="Times New Roman"/>
          <w:b/>
          <w:highlight w:val="none"/>
        </w:rPr>
        <w:t>Document for:</w:t>
      </w:r>
      <w:r>
        <w:rPr>
          <w:rFonts w:hint="default" w:ascii="Times New Roman" w:hAnsi="Times New Roman" w:cs="Times New Roman"/>
          <w:b/>
          <w:highlight w:val="none"/>
        </w:rPr>
        <w:tab/>
      </w:r>
      <w:r>
        <w:rPr>
          <w:rFonts w:hint="default" w:ascii="Times New Roman" w:hAnsi="Times New Roman" w:cs="Times New Roman"/>
          <w:b/>
          <w:highlight w:val="none"/>
        </w:rPr>
        <w:t>Discussion and Decision</w:t>
      </w:r>
    </w:p>
    <w:p>
      <w:pPr>
        <w:pStyle w:val="2"/>
        <w:snapToGrid w:val="0"/>
        <w:spacing w:before="120" w:after="180" w:afterLines="50"/>
        <w:ind w:left="431" w:hanging="431"/>
        <w:jc w:val="both"/>
        <w:rPr>
          <w:rFonts w:hint="default" w:ascii="Times New Roman" w:hAnsi="Times New Roman" w:cs="Times New Roman"/>
          <w:sz w:val="28"/>
          <w:lang w:val="en-US"/>
        </w:rPr>
      </w:pPr>
      <w:r>
        <w:rPr>
          <w:rFonts w:hint="default" w:ascii="Times New Roman" w:hAnsi="Times New Roman" w:cs="Times New Roman"/>
          <w:sz w:val="28"/>
          <w:lang w:val="en-US"/>
        </w:rPr>
        <w:t xml:space="preserve">Introduction </w:t>
      </w:r>
    </w:p>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3GPP TSG RAN Meeting #98-e [1], the following WID were approved for LPHAP.</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keepNext w:val="0"/>
              <w:keepLines w:val="0"/>
              <w:pageBreakBefore w:val="0"/>
              <w:widowControl/>
              <w:numPr>
                <w:ilvl w:val="0"/>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Specify enhancements for enabling LPHAP use-case 6 as defined in TS 22.104 including:</w:t>
            </w:r>
          </w:p>
          <w:p>
            <w:pPr>
              <w:keepNext w:val="0"/>
              <w:keepLines w:val="0"/>
              <w:pageBreakBefore w:val="0"/>
              <w:widowControl/>
              <w:numPr>
                <w:ilvl w:val="1"/>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cs="Times New Roman"/>
                <w:sz w:val="20"/>
                <w:szCs w:val="20"/>
                <w:lang w:eastAsia="ko-KR"/>
              </w:rPr>
              <w:t>Extending eDRX cycle beyond 10.24s in RRC_INACTIVE state towards meeting the battery life requirement for LPHAP [RAN2, RAN3, RAN4]</w:t>
            </w:r>
          </w:p>
          <w:p>
            <w:pPr>
              <w:keepNext w:val="0"/>
              <w:keepLines w:val="0"/>
              <w:pageBreakBefore w:val="0"/>
              <w:widowControl/>
              <w:numPr>
                <w:ilvl w:val="2"/>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Positioning-specific enhancement for eDRX cycle beyond 10.24s to be defined as part of Rel-18 WI on expanded and improved NR positioning.</w:t>
            </w:r>
          </w:p>
          <w:p>
            <w:pPr>
              <w:keepNext w:val="0"/>
              <w:keepLines w:val="0"/>
              <w:pageBreakBefore w:val="0"/>
              <w:widowControl/>
              <w:numPr>
                <w:ilvl w:val="3"/>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NOTE: Work on this objective should be coordinated with that in Rel-18 WI on eRedCap. Towards this, the feature of extending eDRX cycle beyond 10.24s should be defined as part of Rel-18 WI on eRedCap.</w:t>
            </w:r>
          </w:p>
          <w:p>
            <w:pPr>
              <w:keepNext w:val="0"/>
              <w:keepLines w:val="0"/>
              <w:pageBreakBefore w:val="0"/>
              <w:widowControl/>
              <w:numPr>
                <w:ilvl w:val="2"/>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NOTE: Inputs from RAN1 as necessary may be facilitated via LSs</w:t>
            </w:r>
          </w:p>
          <w:p>
            <w:pPr>
              <w:keepNext w:val="0"/>
              <w:keepLines w:val="0"/>
              <w:pageBreakBefore w:val="0"/>
              <w:widowControl/>
              <w:numPr>
                <w:ilvl w:val="1"/>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cs="Times New Roman"/>
                <w:sz w:val="20"/>
                <w:szCs w:val="20"/>
                <w:lang w:eastAsia="ko-KR"/>
              </w:rPr>
              <w:t>For UL and DL+UL positioning for UEs in RRC_INACTIVE state, specify SRS configuration enhancements based on SRS positioning validity area to avoid frequent RRC connection for SRS (re)configuration [RAN2, RAN1, RAN3].</w:t>
            </w:r>
          </w:p>
          <w:p>
            <w:pPr>
              <w:keepNext w:val="0"/>
              <w:keepLines w:val="0"/>
              <w:pageBreakBefore w:val="0"/>
              <w:widowControl/>
              <w:numPr>
                <w:ilvl w:val="2"/>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SRS for positioning configurations in multiple cells</w:t>
            </w:r>
            <w:r>
              <w:rPr>
                <w:rFonts w:hint="default" w:ascii="Times New Roman" w:hAnsi="Times New Roman" w:eastAsia="等线" w:cs="Times New Roman"/>
                <w:sz w:val="20"/>
                <w:szCs w:val="20"/>
              </w:rPr>
              <w:t xml:space="preserve"> [RAN2, RAN1]</w:t>
            </w:r>
            <w:r>
              <w:rPr>
                <w:rFonts w:hint="default" w:ascii="Times New Roman" w:hAnsi="Times New Roman" w:eastAsia="MS Mincho" w:cs="Times New Roman"/>
                <w:sz w:val="20"/>
                <w:szCs w:val="20"/>
                <w:lang w:eastAsia="ko-KR"/>
              </w:rPr>
              <w:t xml:space="preserve">. </w:t>
            </w:r>
          </w:p>
          <w:p>
            <w:pPr>
              <w:keepNext w:val="0"/>
              <w:keepLines w:val="0"/>
              <w:pageBreakBefore w:val="0"/>
              <w:widowControl/>
              <w:numPr>
                <w:ilvl w:val="3"/>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Note: Details including issues such as interference, timing advance, spatial relation information, pathloss reference and common SRS parameters across multiple cells can be further discussed during normative work.</w:t>
            </w:r>
          </w:p>
          <w:p>
            <w:pPr>
              <w:keepNext w:val="0"/>
              <w:keepLines w:val="0"/>
              <w:pageBreakBefore w:val="0"/>
              <w:widowControl/>
              <w:numPr>
                <w:ilvl w:val="2"/>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Pre-configuration of one or multiple SRS for positioning configurations</w:t>
            </w:r>
            <w:r>
              <w:rPr>
                <w:rFonts w:hint="default" w:ascii="Times New Roman" w:hAnsi="Times New Roman" w:eastAsia="等线" w:cs="Times New Roman"/>
                <w:sz w:val="20"/>
                <w:szCs w:val="20"/>
              </w:rPr>
              <w:t xml:space="preserve"> [RAN2, RAN3]</w:t>
            </w:r>
            <w:r>
              <w:rPr>
                <w:rFonts w:hint="default" w:ascii="Times New Roman" w:hAnsi="Times New Roman" w:eastAsia="MS Mincho" w:cs="Times New Roman"/>
                <w:sz w:val="20"/>
                <w:szCs w:val="20"/>
                <w:lang w:eastAsia="ko-KR"/>
              </w:rPr>
              <w:t>.</w:t>
            </w:r>
          </w:p>
          <w:p>
            <w:pPr>
              <w:keepNext w:val="0"/>
              <w:keepLines w:val="0"/>
              <w:pageBreakBefore w:val="0"/>
              <w:widowControl/>
              <w:numPr>
                <w:ilvl w:val="2"/>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bookmarkStart w:id="6" w:name="_Hlk122087734"/>
            <w:r>
              <w:rPr>
                <w:rFonts w:hint="default" w:ascii="Times New Roman" w:hAnsi="Times New Roman" w:eastAsia="MS Mincho" w:cs="Times New Roman"/>
                <w:sz w:val="20"/>
                <w:szCs w:val="20"/>
                <w:lang w:eastAsia="ko-KR"/>
              </w:rPr>
              <w:t xml:space="preserve">SRS for positioning activation/request procedure(s) </w:t>
            </w:r>
            <w:bookmarkEnd w:id="6"/>
            <w:r>
              <w:rPr>
                <w:rFonts w:hint="default" w:ascii="Times New Roman" w:hAnsi="Times New Roman" w:eastAsia="MS Mincho" w:cs="Times New Roman"/>
                <w:sz w:val="20"/>
                <w:szCs w:val="20"/>
                <w:lang w:eastAsia="ko-KR"/>
              </w:rPr>
              <w:t>[RAN2, RAN1].</w:t>
            </w:r>
          </w:p>
          <w:p>
            <w:pPr>
              <w:keepNext w:val="0"/>
              <w:keepLines w:val="0"/>
              <w:pageBreakBefore w:val="0"/>
              <w:widowControl/>
              <w:numPr>
                <w:ilvl w:val="1"/>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Specify solutions for DL PRS measurements for a UE in RRC_IDLE state and reporting of the measurements in RRC_CONNECTED state [RAN2].</w:t>
            </w:r>
          </w:p>
          <w:p>
            <w:pPr>
              <w:keepNext w:val="0"/>
              <w:keepLines w:val="0"/>
              <w:pageBreakBefore w:val="0"/>
              <w:widowControl/>
              <w:numPr>
                <w:ilvl w:val="1"/>
                <w:numId w:val="3"/>
              </w:numPr>
              <w:kinsoku/>
              <w:wordWrap/>
              <w:topLinePunct w:val="0"/>
              <w:bidi w:val="0"/>
              <w:adjustRightInd w:val="0"/>
              <w:snapToGrid w:val="0"/>
              <w:spacing w:before="180" w:beforeLines="50" w:after="180" w:afterLines="50" w:line="240" w:lineRule="auto"/>
              <w:ind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Specify solutions for alignment between eDRX and PRS configurations [RAN2].</w:t>
            </w:r>
          </w:p>
          <w:p>
            <w:pPr>
              <w:pStyle w:val="94"/>
              <w:keepNext w:val="0"/>
              <w:keepLines w:val="0"/>
              <w:pageBreakBefore w:val="0"/>
              <w:widowControl/>
              <w:numPr>
                <w:ilvl w:val="0"/>
                <w:numId w:val="4"/>
              </w:numPr>
              <w:kinsoku/>
              <w:wordWrap/>
              <w:topLinePunct w:val="0"/>
              <w:bidi w:val="0"/>
              <w:adjustRightInd w:val="0"/>
              <w:snapToGrid w:val="0"/>
              <w:spacing w:before="180" w:beforeLines="50" w:afterLines="50" w:line="240" w:lineRule="auto"/>
              <w:jc w:val="both"/>
              <w:rPr>
                <w:rFonts w:hint="default" w:ascii="Times New Roman" w:hAnsi="Times New Roman" w:cs="Times New Roman"/>
              </w:rPr>
            </w:pPr>
            <w:r>
              <w:rPr>
                <w:rFonts w:hint="default" w:ascii="Times New Roman" w:hAnsi="Times New Roman" w:cs="Times New Roman"/>
                <w:sz w:val="20"/>
                <w:lang w:eastAsia="ko-KR"/>
              </w:rPr>
              <w:t>Specify corresponding new core requirements, as well as identifying and specifying the impact on the existing RAN4 specification, including RRM measurements and procedures [RAN4].</w:t>
            </w:r>
          </w:p>
        </w:tc>
      </w:tr>
    </w:tbl>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 we provide our views on the potential enhancement for LPHAP.</w:t>
      </w:r>
    </w:p>
    <w:p>
      <w:pPr>
        <w:pStyle w:val="2"/>
        <w:snapToGrid w:val="0"/>
        <w:spacing w:before="120" w:after="180" w:afterLines="50"/>
        <w:ind w:left="431" w:hanging="431"/>
        <w:jc w:val="both"/>
        <w:rPr>
          <w:rFonts w:hint="default" w:ascii="Times New Roman" w:hAnsi="Times New Roman" w:cs="Times New Roman"/>
          <w:sz w:val="28"/>
          <w:lang w:val="en-US"/>
        </w:rPr>
      </w:pPr>
      <w:r>
        <w:rPr>
          <w:rFonts w:hint="default" w:ascii="Times New Roman" w:hAnsi="Times New Roman" w:cs="Times New Roman"/>
          <w:sz w:val="28"/>
          <w:lang w:val="en-US"/>
        </w:rPr>
        <w:t>SRS configuration enhancement</w:t>
      </w:r>
    </w:p>
    <w:p>
      <w:pPr>
        <w:autoSpaceDE w:val="0"/>
        <w:autoSpaceDN w:val="0"/>
        <w:adjustRightInd w:val="0"/>
        <w:snapToGrid w:val="0"/>
        <w:spacing w:before="180" w:beforeLines="50" w:after="180"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In Rel-17, the following agreements were achieved:</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Agreement of RAN2#116-bis:</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 SRSp configuration is considered as invalid if TA is not valid.</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When cell reselection is performed and UE initiates RRC resume procedure to the cell which is different from the cell in which the SRSp is configured, the TA timer configuration for SRS should be released.</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 SRSp configuration is released when the UE sends RRCResumeRequest to a cell other than the cell where it is released to RRC_INACTIVE state.</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b/>
                <w:sz w:val="20"/>
                <w:szCs w:val="20"/>
                <w:u w:val="single"/>
              </w:rPr>
            </w:pPr>
            <w:r>
              <w:rPr>
                <w:rFonts w:hint="default" w:ascii="Times New Roman" w:hAnsi="Times New Roman" w:cs="Times New Roman"/>
                <w:b/>
                <w:sz w:val="20"/>
                <w:szCs w:val="20"/>
                <w:u w:val="single"/>
              </w:rPr>
              <w:t>Agreement of RAN2#117:</w:t>
            </w:r>
          </w:p>
          <w:p>
            <w:pPr>
              <w:keepNext w:val="0"/>
              <w:keepLines w:val="0"/>
              <w:pageBreakBefore w:val="0"/>
              <w:widowControl/>
              <w:numPr>
                <w:ilvl w:val="0"/>
                <w:numId w:val="5"/>
              </w:numPr>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TA timer configuration of SRS for positioning (SRSp) is invalidated upon any cell reselection (i.e. even if the UE does not initiate the RRC resume procedure) </w:t>
            </w:r>
          </w:p>
        </w:tc>
      </w:tr>
    </w:tbl>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These agreements indicate that, the SRS configuration for RRC_INACTIVE is only restricted in the serving cell that the UE connects lastly. If UE moves to another cell and cell re-selection is performed while UE still needs positioning (which is very likely to happen in a large factory area as use case 6 indicates), UE has to reach to RRC_CONNECTED to receive new SRS configuration embedded in RRC reconfiguration. As a common knowledge, the most significant UE power consumption comes from power state transfer (e.g., from light sleep state to active state), so the frequent state transition will lead to a huge power consumption. </w:t>
      </w:r>
    </w:p>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The evaluation results in the study item proved that the power consumed by state transition in cell re-selection accounts for a large proportion. And WID on Expanded and Improved NR Positioning agreed that: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1"/>
                <w:numId w:val="3"/>
              </w:numPr>
              <w:adjustRightInd w:val="0"/>
              <w:snapToGrid w:val="0"/>
              <w:spacing w:before="180" w:beforeLines="50" w:after="180" w:afterLines="50"/>
              <w:ind w:left="930" w:hanging="363"/>
              <w:jc w:val="both"/>
              <w:rPr>
                <w:rFonts w:hint="default" w:ascii="Times New Roman" w:hAnsi="Times New Roman" w:eastAsia="MS Mincho" w:cs="Times New Roman"/>
                <w:sz w:val="20"/>
                <w:szCs w:val="20"/>
                <w:lang w:eastAsia="ko-KR"/>
              </w:rPr>
            </w:pPr>
            <w:r>
              <w:rPr>
                <w:rFonts w:hint="default" w:ascii="Times New Roman" w:hAnsi="Times New Roman" w:cs="Times New Roman"/>
                <w:sz w:val="20"/>
                <w:szCs w:val="20"/>
                <w:lang w:eastAsia="ko-KR"/>
              </w:rPr>
              <w:t>For UL and DL+UL positioning for UEs in RRC_INACTIVE state, specify SRS configuration enhancements based on SRS positioning validity area to avoid frequent RRC connection for SRS (re)configuration [RAN2, RAN1, RAN3].</w:t>
            </w:r>
          </w:p>
          <w:p>
            <w:pPr>
              <w:numPr>
                <w:ilvl w:val="2"/>
                <w:numId w:val="3"/>
              </w:numPr>
              <w:adjustRightInd w:val="0"/>
              <w:snapToGrid w:val="0"/>
              <w:spacing w:before="180" w:beforeLines="50" w:after="180" w:afterLines="50"/>
              <w:ind w:left="1497"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SRS for positioning configurations in multiple cells</w:t>
            </w:r>
            <w:r>
              <w:rPr>
                <w:rFonts w:hint="default" w:ascii="Times New Roman" w:hAnsi="Times New Roman" w:eastAsia="等线" w:cs="Times New Roman"/>
                <w:sz w:val="20"/>
                <w:szCs w:val="20"/>
              </w:rPr>
              <w:t xml:space="preserve"> [RAN2, RAN1]</w:t>
            </w:r>
            <w:r>
              <w:rPr>
                <w:rFonts w:hint="default" w:ascii="Times New Roman" w:hAnsi="Times New Roman" w:eastAsia="MS Mincho" w:cs="Times New Roman"/>
                <w:sz w:val="20"/>
                <w:szCs w:val="20"/>
                <w:lang w:eastAsia="ko-KR"/>
              </w:rPr>
              <w:t xml:space="preserve">. </w:t>
            </w:r>
          </w:p>
          <w:p>
            <w:pPr>
              <w:numPr>
                <w:ilvl w:val="3"/>
                <w:numId w:val="3"/>
              </w:numPr>
              <w:adjustRightInd w:val="0"/>
              <w:snapToGrid w:val="0"/>
              <w:spacing w:before="180" w:beforeLines="50" w:after="180" w:afterLines="50"/>
              <w:ind w:left="2064"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Note: Details including issues such as interference, timing advance, spatial relation information, pathloss reference and common SRS parameters across multiple cells can be further discussed during normative work.</w:t>
            </w:r>
          </w:p>
          <w:p>
            <w:pPr>
              <w:numPr>
                <w:ilvl w:val="2"/>
                <w:numId w:val="3"/>
              </w:numPr>
              <w:adjustRightInd w:val="0"/>
              <w:snapToGrid w:val="0"/>
              <w:spacing w:before="180" w:beforeLines="50" w:after="180" w:afterLines="50"/>
              <w:ind w:left="1497" w:hanging="363"/>
              <w:jc w:val="both"/>
              <w:rPr>
                <w:rFonts w:hint="default" w:ascii="Times New Roman" w:hAnsi="Times New Roman" w:eastAsia="MS Mincho" w:cs="Times New Roman"/>
                <w:sz w:val="20"/>
                <w:szCs w:val="20"/>
                <w:lang w:eastAsia="ko-KR"/>
              </w:rPr>
            </w:pPr>
            <w:r>
              <w:rPr>
                <w:rFonts w:hint="default" w:ascii="Times New Roman" w:hAnsi="Times New Roman" w:eastAsia="MS Mincho" w:cs="Times New Roman"/>
                <w:sz w:val="20"/>
                <w:szCs w:val="20"/>
                <w:lang w:eastAsia="ko-KR"/>
              </w:rPr>
              <w:t>Pre-configuration of one or multiple SRS for positioning configurations</w:t>
            </w:r>
            <w:r>
              <w:rPr>
                <w:rFonts w:hint="default" w:ascii="Times New Roman" w:hAnsi="Times New Roman" w:eastAsia="等线" w:cs="Times New Roman"/>
                <w:sz w:val="20"/>
                <w:szCs w:val="20"/>
              </w:rPr>
              <w:t xml:space="preserve"> [RAN2, RAN3]</w:t>
            </w:r>
            <w:r>
              <w:rPr>
                <w:rFonts w:hint="default" w:ascii="Times New Roman" w:hAnsi="Times New Roman" w:eastAsia="MS Mincho" w:cs="Times New Roman"/>
                <w:sz w:val="20"/>
                <w:szCs w:val="20"/>
                <w:lang w:eastAsia="ko-KR"/>
              </w:rPr>
              <w:t>.</w:t>
            </w:r>
          </w:p>
          <w:p>
            <w:pPr>
              <w:numPr>
                <w:ilvl w:val="2"/>
                <w:numId w:val="3"/>
              </w:numPr>
              <w:adjustRightInd w:val="0"/>
              <w:snapToGrid w:val="0"/>
              <w:spacing w:before="180" w:beforeLines="50" w:after="180" w:afterLines="50"/>
              <w:ind w:left="1497" w:hanging="363"/>
              <w:jc w:val="both"/>
              <w:rPr>
                <w:rFonts w:hint="default" w:ascii="Times New Roman" w:hAnsi="Times New Roman" w:cs="Times New Roman"/>
                <w:sz w:val="20"/>
                <w:szCs w:val="20"/>
                <w:lang w:eastAsia="ko-KR"/>
              </w:rPr>
            </w:pPr>
            <w:r>
              <w:rPr>
                <w:rFonts w:hint="default" w:ascii="Times New Roman" w:hAnsi="Times New Roman" w:eastAsia="MS Mincho" w:cs="Times New Roman"/>
                <w:sz w:val="20"/>
                <w:szCs w:val="20"/>
                <w:lang w:eastAsia="ko-KR"/>
              </w:rPr>
              <w:t>SRS for positioning activation/request procedure(s) [RAN2, RAN1].</w:t>
            </w:r>
          </w:p>
        </w:tc>
      </w:tr>
    </w:tbl>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The first bullet (i.e., </w:t>
      </w:r>
      <w:r>
        <w:rPr>
          <w:rFonts w:hint="default" w:ascii="Times New Roman" w:hAnsi="Times New Roman" w:eastAsia="MS Mincho" w:cs="Times New Roman"/>
          <w:sz w:val="20"/>
          <w:szCs w:val="20"/>
          <w:lang w:eastAsia="ko-KR"/>
        </w:rPr>
        <w:t>SRS for positioning configurations in multiple cells</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 xml:space="preserve">aims at </w:t>
      </w:r>
      <w:r>
        <w:rPr>
          <w:rFonts w:hint="default" w:ascii="Times New Roman" w:hAnsi="Times New Roman" w:cs="Times New Roman"/>
          <w:sz w:val="20"/>
          <w:szCs w:val="20"/>
          <w:lang w:val="en-US" w:eastAsia="zh-CN"/>
        </w:rPr>
        <w:t>configur</w:t>
      </w:r>
      <w:r>
        <w:rPr>
          <w:rFonts w:hint="eastAsia" w:ascii="Times New Roman" w:hAnsi="Times New Roman" w:cs="Times New Roman"/>
          <w:sz w:val="20"/>
          <w:szCs w:val="20"/>
          <w:lang w:val="en-US" w:eastAsia="zh-CN"/>
        </w:rPr>
        <w:t>ing</w:t>
      </w:r>
      <w:r>
        <w:rPr>
          <w:rFonts w:hint="default" w:ascii="Times New Roman" w:hAnsi="Times New Roman" w:cs="Times New Roman"/>
          <w:sz w:val="20"/>
          <w:szCs w:val="20"/>
          <w:lang w:val="en-US" w:eastAsia="zh-CN"/>
        </w:rPr>
        <w:t xml:space="preserve"> SRS parameters for the cells within the validity area, and all of these cells share the same SRS configuration, which is transmitted by the last serving gNB that releases the UE to RRC_INACTIVE state. But in fact, some of the SRS configuration parameters cannot be shared when UE camps on a new cell, and further discussion towards these cell-specific parameters is required. </w:t>
      </w:r>
    </w:p>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In the second bullet (i.e., </w:t>
      </w:r>
      <w:r>
        <w:rPr>
          <w:rFonts w:hint="default" w:ascii="Times New Roman" w:hAnsi="Times New Roman" w:eastAsia="MS Mincho" w:cs="Times New Roman"/>
          <w:sz w:val="20"/>
          <w:szCs w:val="20"/>
          <w:lang w:eastAsia="ko-KR"/>
        </w:rPr>
        <w:t>Pre-configuration of one or multiple SRS for positioning configurations</w:t>
      </w:r>
      <w:r>
        <w:rPr>
          <w:rFonts w:hint="default" w:ascii="Times New Roman" w:hAnsi="Times New Roman" w:cs="Times New Roman"/>
          <w:sz w:val="20"/>
          <w:szCs w:val="20"/>
          <w:lang w:val="en-US" w:eastAsia="zh-CN"/>
        </w:rPr>
        <w:t>), UE can receive the SRS pre-configuration details from the last serving gNB, wherein the SRS pre-configuration comprises a configuration list, specifying the SRS configuration for different cells within the validity area. When UE camps on a new cell, it will transmit positioning SRS (for periodic SRS configuration, or transmit semi-persistent positioning SRS after triggered with corresponding command) based on the SRS configuration corresponding to the new cell.</w:t>
      </w:r>
    </w:p>
    <w:p>
      <w:pPr>
        <w:keepNext w:val="0"/>
        <w:keepLines w:val="0"/>
        <w:pageBreakBefore w:val="0"/>
        <w:widowControl/>
        <w:kinsoku/>
        <w:wordWrap/>
        <w:overflowPunct/>
        <w:topLinePunct w:val="0"/>
        <w:autoSpaceDE w:val="0"/>
        <w:autoSpaceDN w:val="0"/>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Therefore, the following enhancement towards SRS configuration are discussed.</w:t>
      </w:r>
    </w:p>
    <w:p>
      <w:pPr>
        <w:pStyle w:val="3"/>
        <w:snapToGrid w:val="0"/>
        <w:spacing w:line="240" w:lineRule="auto"/>
        <w:jc w:val="both"/>
        <w:rPr>
          <w:rFonts w:hint="default" w:ascii="Times New Roman" w:hAnsi="Times New Roman" w:cs="Times New Roman"/>
          <w:b/>
          <w:sz w:val="24"/>
          <w:szCs w:val="24"/>
        </w:rPr>
      </w:pPr>
      <w:r>
        <w:rPr>
          <w:rFonts w:hint="default" w:ascii="Times New Roman" w:hAnsi="Times New Roman" w:cs="Times New Roman"/>
          <w:b/>
          <w:sz w:val="24"/>
          <w:szCs w:val="24"/>
        </w:rPr>
        <w:t>SRS configuration in multiple cells</w:t>
      </w:r>
    </w:p>
    <w:p>
      <w:pPr>
        <w:keepNext w:val="0"/>
        <w:keepLines w:val="0"/>
        <w:pageBreakBefore w:val="0"/>
        <w:widowControl/>
        <w:kinsoku/>
        <w:wordWrap/>
        <w:overflowPunct/>
        <w:topLinePunct w:val="0"/>
        <w:autoSpaceDE w:val="0"/>
        <w:autoSpaceDN w:val="0"/>
        <w:bidi w:val="0"/>
        <w:adjustRightInd w:val="0"/>
        <w:snapToGrid w:val="0"/>
        <w:spacing w:before="157" w:beforeLines="50" w:after="157"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general, UE will get new SRS configuration when it moves to a new cell or the previous SRS configuration is invalid. In current UL positioning procedure, UE has to establish RRC connection when receiving SRS configuration or SRS configuration update, which is power consuming for LPHAP devices. Therefore, SRS for positioning configurations in a validity area were proposed in WID. However, some of the SRS configuration parameters cannot be used across multiple cells, mainly include the following configurations:</w:t>
      </w:r>
    </w:p>
    <w:p>
      <w:pPr>
        <w:pStyle w:val="4"/>
        <w:ind w:firstLine="241"/>
        <w:jc w:val="both"/>
        <w:rPr>
          <w:rFonts w:hint="default" w:ascii="Times New Roman" w:hAnsi="Times New Roman" w:cs="Times New Roman"/>
        </w:rPr>
      </w:pPr>
      <w:r>
        <w:rPr>
          <w:rFonts w:hint="default" w:ascii="Times New Roman" w:hAnsi="Times New Roman" w:cs="Times New Roman"/>
        </w:rPr>
        <w:t>Timing advance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In Rel-17, </w:t>
      </w:r>
      <w:r>
        <w:rPr>
          <w:rFonts w:hint="eastAsia" w:ascii="Times New Roman" w:hAnsi="Times New Roman" w:cs="Times New Roman"/>
          <w:sz w:val="20"/>
          <w:szCs w:val="20"/>
          <w:lang w:val="en-US" w:eastAsia="zh-CN"/>
        </w:rPr>
        <w:t>Timing advance (</w:t>
      </w:r>
      <w:r>
        <w:rPr>
          <w:rFonts w:hint="default" w:ascii="Times New Roman" w:hAnsi="Times New Roman" w:cs="Times New Roman"/>
          <w:sz w:val="20"/>
          <w:szCs w:val="20"/>
        </w:rPr>
        <w:t>TA</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 xml:space="preserve"> for UL SRS could be determined by the following configurations: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Msg2 Timing advance command: This TA command is included in Msg2, i.e., RACH Response, which configures the initial value for TA.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MAC CE Timing advance command: This TA command is included in DL-SCH, which specifies the TA modification value. </w:t>
      </w:r>
    </w:p>
    <w:p>
      <w:pPr>
        <w:keepNext w:val="0"/>
        <w:keepLines w:val="0"/>
        <w:pageBreakBefore w:val="0"/>
        <w:widowControl/>
        <w:numPr>
          <w:ilvl w:val="0"/>
          <w:numId w:val="6"/>
        </w:numPr>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SIB Timing advance offset: Configure </w:t>
      </w:r>
      <w:r>
        <w:rPr>
          <w:rFonts w:hint="default" w:ascii="Times New Roman" w:hAnsi="Times New Roman" w:cs="Times New Roman"/>
          <w:i/>
          <w:sz w:val="20"/>
          <w:szCs w:val="20"/>
        </w:rPr>
        <w:t>N_TA-Offset</w:t>
      </w:r>
      <w:r>
        <w:rPr>
          <w:rFonts w:hint="default" w:ascii="Times New Roman" w:hAnsi="Times New Roman" w:cs="Times New Roman"/>
          <w:sz w:val="20"/>
          <w:szCs w:val="20"/>
        </w:rPr>
        <w:t xml:space="preserve"> to be applied for uplink transmissions on the serving cell.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above three configurations determine the time when UE transmits UL SRS. The explicit TA may be invalid when the </w:t>
      </w:r>
      <w:r>
        <w:rPr>
          <w:rFonts w:hint="default" w:ascii="Times New Roman" w:hAnsi="Times New Roman" w:cs="Times New Roman"/>
          <w:i/>
          <w:sz w:val="20"/>
          <w:szCs w:val="20"/>
        </w:rPr>
        <w:t>TimingAlignmentTimer</w:t>
      </w:r>
      <w:r>
        <w:rPr>
          <w:rFonts w:hint="default" w:ascii="Times New Roman" w:hAnsi="Times New Roman" w:cs="Times New Roman"/>
          <w:sz w:val="20"/>
          <w:szCs w:val="20"/>
        </w:rPr>
        <w:t xml:space="preserve"> expires or the downlink pathloss reference RSRP value exceeds the configured threshold in current Rel-17 specification.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As s</w:t>
      </w:r>
      <w:r>
        <w:rPr>
          <w:rFonts w:hint="default" w:ascii="Times New Roman" w:hAnsi="Times New Roman" w:cs="Times New Roman"/>
          <w:sz w:val="20"/>
          <w:szCs w:val="20"/>
        </w:rPr>
        <w:t xml:space="preserve">hown 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_Ref15976 \h </w:instrText>
      </w:r>
      <w:r>
        <w:rPr>
          <w:rFonts w:hint="default" w:ascii="Times New Roman" w:hAnsi="Times New Roman" w:cs="Times New Roman"/>
          <w:sz w:val="20"/>
          <w:szCs w:val="20"/>
        </w:rPr>
        <w:fldChar w:fldCharType="separate"/>
      </w:r>
      <w:r>
        <w:rPr>
          <w:rFonts w:hint="default" w:ascii="Times New Roman" w:hAnsi="Times New Roman" w:cs="Times New Roman"/>
          <w:b w:val="0"/>
          <w:bCs w:val="0"/>
          <w:sz w:val="20"/>
          <w:szCs w:val="20"/>
        </w:rPr>
        <w:t>Figure 1</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when UE </w:t>
      </w:r>
      <w:r>
        <w:rPr>
          <w:rFonts w:hint="eastAsia" w:ascii="Times New Roman" w:hAnsi="Times New Roman" w:cs="Times New Roman"/>
          <w:sz w:val="20"/>
          <w:szCs w:val="20"/>
          <w:lang w:val="en-US" w:eastAsia="zh-CN"/>
        </w:rPr>
        <w:t>camps on a new</w:t>
      </w:r>
      <w:r>
        <w:rPr>
          <w:rFonts w:hint="default" w:ascii="Times New Roman" w:hAnsi="Times New Roman" w:cs="Times New Roman"/>
          <w:sz w:val="20"/>
          <w:szCs w:val="20"/>
        </w:rPr>
        <w:t xml:space="preserve"> cell, the TA might be different due to the UE movement, gNB synchronization, the distance between </w:t>
      </w:r>
      <w:r>
        <w:rPr>
          <w:rFonts w:hint="default" w:ascii="Times New Roman" w:hAnsi="Times New Roman" w:cs="Times New Roman"/>
          <w:sz w:val="20"/>
          <w:szCs w:val="20"/>
        </w:rPr>
        <w:t>UE and two gNBs, etc. Considering these factors, we have the following TA determination options:</w:t>
      </w:r>
    </w:p>
    <w:p>
      <w:pPr>
        <w:adjustRightInd w:val="0"/>
        <w:snapToGrid w:val="0"/>
        <w:spacing w:after="180" w:afterLines="50"/>
        <w:jc w:val="center"/>
        <w:rPr>
          <w:rFonts w:hint="default" w:ascii="Times New Roman" w:hAnsi="Times New Roman" w:cs="Times New Roman"/>
        </w:rPr>
      </w:pPr>
      <w:r>
        <w:rPr>
          <w:rFonts w:hint="default" w:ascii="Times New Roman" w:hAnsi="Times New Roman" w:cs="Times New Roman"/>
        </w:rPr>
        <w:drawing>
          <wp:inline distT="0" distB="0" distL="114300" distR="114300">
            <wp:extent cx="3338195" cy="1437640"/>
            <wp:effectExtent l="0" t="0" r="1460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3338195" cy="1437640"/>
                    </a:xfrm>
                    <a:prstGeom prst="rect">
                      <a:avLst/>
                    </a:prstGeom>
                    <a:noFill/>
                    <a:ln>
                      <a:noFill/>
                    </a:ln>
                  </pic:spPr>
                </pic:pic>
              </a:graphicData>
            </a:graphic>
          </wp:inline>
        </w:drawing>
      </w:r>
    </w:p>
    <w:p>
      <w:pPr>
        <w:pStyle w:val="15"/>
        <w:adjustRightInd w:val="0"/>
        <w:snapToGrid w:val="0"/>
        <w:spacing w:after="180" w:afterLines="50" w:line="276" w:lineRule="auto"/>
        <w:jc w:val="center"/>
        <w:rPr>
          <w:rFonts w:hint="default" w:ascii="Times New Roman" w:hAnsi="Times New Roman" w:cs="Times New Roman"/>
          <w:b w:val="0"/>
          <w:bCs w:val="0"/>
          <w:lang w:val="en-US" w:eastAsia="zh-CN"/>
        </w:rPr>
      </w:pPr>
      <w:bookmarkStart w:id="7" w:name="_Ref15976"/>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1</w:t>
      </w:r>
      <w:r>
        <w:rPr>
          <w:rFonts w:hint="default" w:ascii="Times New Roman" w:hAnsi="Times New Roman" w:cs="Times New Roman"/>
          <w:b w:val="0"/>
          <w:bCs w:val="0"/>
        </w:rPr>
        <w:fldChar w:fldCharType="end"/>
      </w:r>
      <w:bookmarkEnd w:id="7"/>
      <w:r>
        <w:rPr>
          <w:rFonts w:hint="default" w:ascii="Times New Roman" w:hAnsi="Times New Roman" w:cs="Times New Roman"/>
          <w:b w:val="0"/>
          <w:bCs w:val="0"/>
          <w:lang w:val="en-US" w:eastAsia="zh-CN"/>
        </w:rPr>
        <w:t xml:space="preserve"> Example for TA difference in SRS transmission</w:t>
      </w:r>
    </w:p>
    <w:p>
      <w:pPr>
        <w:pStyle w:val="94"/>
        <w:numPr>
          <w:ilvl w:val="0"/>
          <w:numId w:val="7"/>
        </w:numPr>
        <w:adjustRightInd w:val="0"/>
        <w:snapToGrid w:val="0"/>
        <w:spacing w:before="181" w:beforeLines="50" w:after="181" w:afterLines="50" w:line="240" w:lineRule="auto"/>
        <w:jc w:val="both"/>
        <w:rPr>
          <w:rFonts w:hint="default" w:ascii="Times New Roman" w:hAnsi="Times New Roman" w:cs="Times New Roman"/>
          <w:b/>
          <w:bCs/>
          <w:sz w:val="20"/>
        </w:rPr>
      </w:pPr>
      <w:r>
        <w:rPr>
          <w:rFonts w:hint="default" w:ascii="Times New Roman" w:hAnsi="Times New Roman" w:cs="Times New Roman"/>
          <w:b/>
          <w:bCs/>
          <w:sz w:val="20"/>
        </w:rPr>
        <w:t xml:space="preserve">Option 1: </w:t>
      </w:r>
      <w:r>
        <w:rPr>
          <w:rFonts w:hint="default" w:ascii="Times New Roman" w:hAnsi="Times New Roman" w:cs="Times New Roman"/>
          <w:b/>
          <w:bCs/>
          <w:sz w:val="20"/>
          <w:lang w:val="en-US" w:eastAsia="zh-CN"/>
        </w:rPr>
        <w:t xml:space="preserve">It’s up to </w:t>
      </w:r>
      <w:r>
        <w:rPr>
          <w:rFonts w:hint="default" w:ascii="Times New Roman" w:hAnsi="Times New Roman" w:cs="Times New Roman"/>
          <w:b/>
          <w:bCs/>
          <w:sz w:val="20"/>
        </w:rPr>
        <w:t>UE</w:t>
      </w:r>
      <w:r>
        <w:rPr>
          <w:rFonts w:hint="default" w:ascii="Times New Roman" w:hAnsi="Times New Roman" w:cs="Times New Roman"/>
          <w:b/>
          <w:bCs/>
          <w:sz w:val="20"/>
          <w:lang w:val="en-US" w:eastAsia="zh-CN"/>
        </w:rPr>
        <w:t xml:space="preserve"> implementation for TA update when UE camps on a new cell.</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In this option, UE has to estimate the distance between U</w:t>
      </w:r>
      <w:r>
        <w:rPr>
          <w:rFonts w:hint="default" w:ascii="Times New Roman" w:hAnsi="Times New Roman" w:cs="Times New Roman"/>
          <w:sz w:val="20"/>
          <w:szCs w:val="20"/>
          <w:highlight w:val="none"/>
        </w:rPr>
        <w:t xml:space="preserve">E and the gNB in new cell (assuming the </w:t>
      </w:r>
      <w:r>
        <w:rPr>
          <w:rFonts w:hint="default" w:ascii="Times New Roman" w:hAnsi="Times New Roman" w:cs="Times New Roman"/>
          <w:sz w:val="20"/>
          <w:szCs w:val="20"/>
          <w:highlight w:val="none"/>
          <w:lang w:val="en-US" w:eastAsia="zh-CN"/>
        </w:rPr>
        <w:t xml:space="preserve">last </w:t>
      </w:r>
      <w:r>
        <w:rPr>
          <w:rFonts w:hint="default" w:ascii="Times New Roman" w:hAnsi="Times New Roman" w:cs="Times New Roman"/>
          <w:sz w:val="20"/>
          <w:szCs w:val="20"/>
          <w:highlight w:val="none"/>
        </w:rPr>
        <w:t>serving cell and new camp cell are well synchronized</w:t>
      </w:r>
      <w:r>
        <w:rPr>
          <w:rFonts w:hint="default" w:ascii="Times New Roman" w:hAnsi="Times New Roman" w:cs="Times New Roman"/>
          <w:sz w:val="20"/>
          <w:szCs w:val="20"/>
        </w:rPr>
        <w:t>). In LPHAP, UE may not receive all RS when move to a new cell, so it might be infeasible for UE to measure the DL RSTD between the serving cell before movement and the new camp cell (considering the QCL configuration of PRS may be invalid when UE moves to a new cell). So, we prefer let the serving gNB send the coordination</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of all the gNB</w:t>
      </w:r>
      <w:r>
        <w:rPr>
          <w:rFonts w:hint="default" w:ascii="Times New Roman" w:hAnsi="Times New Roman" w:cs="Times New Roman"/>
          <w:sz w:val="20"/>
          <w:szCs w:val="20"/>
          <w:lang w:val="en-US" w:eastAsia="zh-CN"/>
        </w:rPr>
        <w:t>s</w:t>
      </w:r>
      <w:r>
        <w:rPr>
          <w:rFonts w:hint="default" w:ascii="Times New Roman" w:hAnsi="Times New Roman" w:cs="Times New Roman"/>
          <w:sz w:val="20"/>
          <w:szCs w:val="20"/>
        </w:rPr>
        <w:t xml:space="preserve"> in the validity area to the UE when configuring SRS. Then UE can estimate the distances based on the mobility of itself, and use the corresponding TA when camps on a new cell. Hence, we have the following observation:</w:t>
      </w:r>
    </w:p>
    <w:p>
      <w:pPr>
        <w:pStyle w:val="15"/>
        <w:keepNext w:val="0"/>
        <w:keepLines w:val="0"/>
        <w:pageBreakBefore w:val="0"/>
        <w:widowControl/>
        <w:kinsoku/>
        <w:wordWrap/>
        <w:topLinePunct w:val="0"/>
        <w:bidi w:val="0"/>
        <w:adjustRightInd w:val="0"/>
        <w:snapToGrid w:val="0"/>
        <w:spacing w:before="181" w:beforeLines="50" w:after="181" w:afterLines="50" w:line="240" w:lineRule="auto"/>
        <w:jc w:val="both"/>
        <w:rPr>
          <w:rFonts w:hint="default" w:ascii="Times New Roman" w:hAnsi="Times New Roman" w:cs="Times New Roman"/>
          <w:i/>
          <w:iCs/>
          <w:lang w:val="en-US" w:eastAsia="zh-CN"/>
        </w:rPr>
      </w:pPr>
      <w:bookmarkStart w:id="8" w:name="_Ref16763"/>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1</w:t>
      </w:r>
      <w:r>
        <w:rPr>
          <w:rFonts w:hint="default" w:ascii="Times New Roman" w:hAnsi="Times New Roman" w:cs="Times New Roman"/>
          <w:i/>
          <w:iCs/>
        </w:rPr>
        <w:fldChar w:fldCharType="end"/>
      </w:r>
      <w:r>
        <w:rPr>
          <w:rFonts w:hint="default" w:ascii="Times New Roman" w:hAnsi="Times New Roman" w:cs="Times New Roman"/>
          <w:i/>
          <w:iCs/>
          <w:lang w:val="en-US" w:eastAsia="zh-CN"/>
        </w:rPr>
        <w:t>: UE can automatically calculate the corresponding TA of a new cell based on its mobility when it camps on the new cell within the validity area.</w:t>
      </w:r>
      <w:bookmarkEnd w:id="8"/>
      <w:r>
        <w:rPr>
          <w:rFonts w:hint="default" w:ascii="Times New Roman" w:hAnsi="Times New Roman" w:cs="Times New Roman"/>
          <w:i/>
          <w:iCs/>
          <w:lang w:val="en-US" w:eastAsia="zh-CN"/>
        </w:rPr>
        <w:t xml:space="preserve"> For UE-aissisted positioning procedure, it’s necessary to let UE know the </w:t>
      </w:r>
      <w:r>
        <w:rPr>
          <w:rFonts w:hint="eastAsia" w:cs="Times New Roman"/>
          <w:i/>
          <w:iCs/>
          <w:lang w:val="en-US" w:eastAsia="zh-CN"/>
        </w:rPr>
        <w:t>coordinates</w:t>
      </w:r>
      <w:r>
        <w:rPr>
          <w:rFonts w:hint="default" w:ascii="Times New Roman" w:hAnsi="Times New Roman" w:cs="Times New Roman"/>
          <w:i/>
          <w:iCs/>
          <w:lang w:val="en-US" w:eastAsia="zh-CN"/>
        </w:rPr>
        <w:t xml:space="preserve"> of the gNB</w:t>
      </w:r>
      <w:r>
        <w:rPr>
          <w:rFonts w:hint="eastAsia" w:cs="Times New Roman"/>
          <w:i/>
          <w:iCs/>
          <w:lang w:val="en-US" w:eastAsia="zh-CN"/>
        </w:rPr>
        <w:t>s</w:t>
      </w:r>
      <w:r>
        <w:rPr>
          <w:rFonts w:hint="default" w:ascii="Times New Roman" w:hAnsi="Times New Roman" w:cs="Times New Roman"/>
          <w:i/>
          <w:iCs/>
          <w:lang w:val="en-US" w:eastAsia="zh-CN"/>
        </w:rPr>
        <w:t xml:space="preserve"> within the validity area.</w:t>
      </w:r>
    </w:p>
    <w:p>
      <w:pPr>
        <w:pStyle w:val="94"/>
        <w:numPr>
          <w:ilvl w:val="0"/>
          <w:numId w:val="7"/>
        </w:numPr>
        <w:adjustRightInd w:val="0"/>
        <w:snapToGrid w:val="0"/>
        <w:spacing w:before="181" w:beforeLines="50" w:after="181" w:afterLines="50" w:line="240" w:lineRule="auto"/>
        <w:jc w:val="both"/>
        <w:rPr>
          <w:rFonts w:hint="default" w:ascii="Times New Roman" w:hAnsi="Times New Roman" w:eastAsia="宋体" w:cs="Times New Roman"/>
          <w:b/>
          <w:bCs/>
          <w:sz w:val="20"/>
        </w:rPr>
      </w:pPr>
      <w:r>
        <w:rPr>
          <w:rFonts w:hint="default" w:ascii="Times New Roman" w:hAnsi="Times New Roman" w:eastAsia="宋体" w:cs="Times New Roman"/>
          <w:b/>
          <w:bCs/>
          <w:sz w:val="20"/>
        </w:rPr>
        <w:t xml:space="preserve">Option 2: </w:t>
      </w:r>
      <w:r>
        <w:rPr>
          <w:rFonts w:hint="default" w:ascii="Times New Roman" w:hAnsi="Times New Roman" w:eastAsia="宋体" w:cs="Times New Roman"/>
          <w:b/>
          <w:bCs/>
          <w:sz w:val="20"/>
          <w:lang w:val="en-US" w:eastAsia="zh-CN"/>
        </w:rPr>
        <w:t>Single TA is used across multiple cells within the SRS configuration validity area.</w:t>
      </w:r>
    </w:p>
    <w:p>
      <w:pPr>
        <w:keepNext w:val="0"/>
        <w:keepLines w:val="0"/>
        <w:pageBreakBefore w:val="0"/>
        <w:widowControl/>
        <w:kinsoku/>
        <w:wordWrap/>
        <w:topLinePunct w:val="0"/>
        <w:bidi w:val="0"/>
        <w:adjustRightInd w:val="0"/>
        <w:snapToGrid w:val="0"/>
        <w:spacing w:before="181" w:beforeLines="50" w:after="181" w:afterLines="50" w:line="24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rPr>
        <w:t>As s</w:t>
      </w:r>
      <w:r>
        <w:rPr>
          <w:rFonts w:hint="default" w:ascii="Times New Roman" w:hAnsi="Times New Roman" w:cs="Times New Roman"/>
          <w:sz w:val="20"/>
          <w:szCs w:val="20"/>
        </w:rPr>
        <w:t xml:space="preserve">hown 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_Ref15976 \h </w:instrText>
      </w:r>
      <w:r>
        <w:rPr>
          <w:rFonts w:hint="default" w:ascii="Times New Roman" w:hAnsi="Times New Roman" w:cs="Times New Roman"/>
          <w:sz w:val="20"/>
          <w:szCs w:val="20"/>
        </w:rPr>
        <w:fldChar w:fldCharType="separate"/>
      </w:r>
      <w:r>
        <w:rPr>
          <w:rFonts w:hint="default" w:ascii="Times New Roman" w:hAnsi="Times New Roman" w:cs="Times New Roman"/>
          <w:b w:val="0"/>
          <w:bCs w:val="0"/>
          <w:sz w:val="20"/>
          <w:szCs w:val="20"/>
        </w:rPr>
        <w:t>Figure 1</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when UE </w:t>
      </w:r>
      <w:r>
        <w:rPr>
          <w:rFonts w:hint="default" w:ascii="Times New Roman" w:hAnsi="Times New Roman" w:cs="Times New Roman"/>
          <w:sz w:val="20"/>
          <w:szCs w:val="20"/>
        </w:rPr>
        <w:t>camps on a new cell, the distance difference between d</w:t>
      </w:r>
      <w:r>
        <w:rPr>
          <w:rFonts w:hint="default" w:ascii="Times New Roman" w:hAnsi="Times New Roman" w:cs="Times New Roman"/>
          <w:sz w:val="20"/>
          <w:szCs w:val="20"/>
          <w:vertAlign w:val="subscript"/>
        </w:rPr>
        <w:t>1</w:t>
      </w:r>
      <w:r>
        <w:rPr>
          <w:rFonts w:hint="default" w:ascii="Times New Roman" w:hAnsi="Times New Roman" w:cs="Times New Roman"/>
          <w:sz w:val="20"/>
          <w:szCs w:val="20"/>
        </w:rPr>
        <w:t xml:space="preserve"> (distance between UE and gNB 1) and d</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 xml:space="preserve"> (distance between UE and gNB 2) is usually small when the coverage of gNB 1 and gNB 2 are similar. And the maximum supported cell ISD is about 700m when configuring SCS as 30kHz, the difference between the ideal TA (refers to the TA configured by gNB </w:t>
      </w:r>
      <w:r>
        <w:rPr>
          <w:rFonts w:hint="eastAsia" w:ascii="Times New Roman" w:hAnsi="Times New Roman" w:cs="Times New Roman"/>
          <w:sz w:val="20"/>
          <w:szCs w:val="20"/>
          <w:lang w:val="en-US" w:eastAsia="zh-CN"/>
        </w:rPr>
        <w:t xml:space="preserve">if </w:t>
      </w:r>
      <w:r>
        <w:rPr>
          <w:rFonts w:hint="default" w:ascii="Times New Roman" w:hAnsi="Times New Roman" w:cs="Times New Roman"/>
          <w:sz w:val="20"/>
          <w:szCs w:val="20"/>
        </w:rPr>
        <w:t>UE enters RRC_CONNECT state) and the actual TA (refers to reuse the TA of UE in gNB 1) is small. So it’s feasible to reuse the old TA between two neighbor cells when the</w:t>
      </w:r>
      <w:r>
        <w:rPr>
          <w:rFonts w:hint="eastAsia" w:ascii="Times New Roman" w:hAnsi="Times New Roman" w:cs="Times New Roman"/>
          <w:sz w:val="20"/>
          <w:szCs w:val="20"/>
          <w:lang w:val="en-US" w:eastAsia="zh-CN"/>
        </w:rPr>
        <w:t>se two cells are well-</w:t>
      </w:r>
      <w:r>
        <w:rPr>
          <w:rFonts w:hint="default" w:ascii="Times New Roman" w:hAnsi="Times New Roman" w:cs="Times New Roman"/>
          <w:sz w:val="20"/>
          <w:szCs w:val="20"/>
        </w:rPr>
        <w:t>synchroniz</w:t>
      </w:r>
      <w:r>
        <w:rPr>
          <w:rFonts w:hint="eastAsia" w:ascii="Times New Roman" w:hAnsi="Times New Roman" w:cs="Times New Roman"/>
          <w:sz w:val="20"/>
          <w:szCs w:val="20"/>
          <w:lang w:val="en-US" w:eastAsia="zh-CN"/>
        </w:rPr>
        <w:t xml:space="preserve">ed </w:t>
      </w:r>
      <w:r>
        <w:rPr>
          <w:rFonts w:hint="default" w:ascii="Times New Roman" w:hAnsi="Times New Roman" w:cs="Times New Roman"/>
          <w:sz w:val="20"/>
          <w:szCs w:val="20"/>
        </w:rPr>
        <w:t xml:space="preserve">as well as the coverage ranges of gNB 1 and gNB are the same. But in fact, the SRS configuration validity area usually contains multiple cells, the TA difference may accumulate. </w:t>
      </w:r>
      <w:r>
        <w:rPr>
          <w:rFonts w:hint="default" w:ascii="Times New Roman" w:hAnsi="Times New Roman" w:cs="Times New Roman"/>
          <w:sz w:val="20"/>
          <w:szCs w:val="20"/>
          <w:lang w:val="en-US" w:eastAsia="zh-CN"/>
        </w:rPr>
        <w:t>Furthermore, the gNBs within the validity area might be not well-synchronized, further exacerbates the TA difference accumulate, finally cause inter-cell interference.</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i/>
          <w:iCs/>
          <w:lang w:val="en-US" w:eastAsia="zh-CN"/>
        </w:rPr>
      </w:pPr>
      <w:bookmarkStart w:id="9" w:name="_Ref16770"/>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2</w:t>
      </w:r>
      <w:r>
        <w:rPr>
          <w:rFonts w:hint="default" w:ascii="Times New Roman" w:hAnsi="Times New Roman" w:cs="Times New Roman"/>
          <w:i/>
          <w:iCs/>
        </w:rPr>
        <w:fldChar w:fldCharType="end"/>
      </w:r>
      <w:r>
        <w:rPr>
          <w:rFonts w:hint="default" w:ascii="Times New Roman" w:hAnsi="Times New Roman" w:cs="Times New Roman"/>
          <w:i/>
          <w:iCs/>
          <w:lang w:val="en-US" w:eastAsia="zh-CN"/>
        </w:rPr>
        <w:t>: UE can reuse the TA configured by the last serving gNB across multiple cells within the SRS configuration validity area when the following criterion are satisfied:</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gNBs within the validity area are well-synchronized.</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The movement of UE is less than the maximum supported cell ISD.</w:t>
      </w:r>
    </w:p>
    <w:bookmarkEnd w:id="9"/>
    <w:p>
      <w:pPr>
        <w:pStyle w:val="94"/>
        <w:numPr>
          <w:ilvl w:val="0"/>
          <w:numId w:val="7"/>
        </w:numPr>
        <w:adjustRightInd w:val="0"/>
        <w:snapToGrid w:val="0"/>
        <w:spacing w:before="181" w:beforeLines="50" w:after="181" w:afterLines="50" w:line="240" w:lineRule="auto"/>
        <w:jc w:val="both"/>
        <w:rPr>
          <w:rFonts w:hint="default" w:ascii="Times New Roman" w:hAnsi="Times New Roman" w:cs="Times New Roman"/>
          <w:sz w:val="20"/>
        </w:rPr>
      </w:pPr>
      <w:r>
        <w:rPr>
          <w:rFonts w:hint="default" w:ascii="Times New Roman" w:hAnsi="Times New Roman" w:cs="Times New Roman"/>
          <w:sz w:val="20"/>
        </w:rPr>
        <w:t>Option 3: gNB configure</w:t>
      </w:r>
      <w:r>
        <w:rPr>
          <w:rFonts w:hint="default" w:ascii="Times New Roman" w:hAnsi="Times New Roman" w:cs="Times New Roman"/>
          <w:sz w:val="20"/>
          <w:lang w:val="en-US" w:eastAsia="zh-CN"/>
        </w:rPr>
        <w:t>s</w:t>
      </w:r>
      <w:r>
        <w:rPr>
          <w:rFonts w:hint="default" w:ascii="Times New Roman" w:hAnsi="Times New Roman" w:cs="Times New Roman"/>
          <w:sz w:val="20"/>
        </w:rPr>
        <w:t xml:space="preserve"> new TA for UE when UE camps on a new cell</w:t>
      </w:r>
      <w:r>
        <w:rPr>
          <w:rFonts w:hint="default" w:ascii="Times New Roman" w:hAnsi="Times New Roman" w:cs="Times New Roman"/>
          <w:sz w:val="20"/>
          <w:lang w:val="en-US" w:eastAsia="zh-CN"/>
        </w:rPr>
        <w:t xml:space="preserve"> based on the SDT procedure</w:t>
      </w:r>
      <w:r>
        <w:rPr>
          <w:rFonts w:hint="default" w:ascii="Times New Roman" w:hAnsi="Times New Roman" w:cs="Times New Roman"/>
          <w:sz w:val="20"/>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As described above, UL SRS could be deter</w:t>
      </w:r>
      <w:r>
        <w:rPr>
          <w:rFonts w:hint="default" w:ascii="Times New Roman" w:hAnsi="Times New Roman" w:cs="Times New Roman"/>
          <w:sz w:val="20"/>
          <w:szCs w:val="20"/>
        </w:rPr>
        <w:t xml:space="preserve">mined by Msg2, </w:t>
      </w:r>
      <w:r>
        <w:rPr>
          <w:rFonts w:hint="default" w:ascii="Times New Roman" w:hAnsi="Times New Roman" w:cs="Times New Roman"/>
          <w:sz w:val="20"/>
          <w:szCs w:val="20"/>
          <w:lang w:val="en-US" w:eastAsia="zh-CN"/>
        </w:rPr>
        <w:t>as</w:t>
      </w:r>
      <w:r>
        <w:rPr>
          <w:rFonts w:hint="default" w:ascii="Times New Roman" w:hAnsi="Times New Roman" w:cs="Times New Roman"/>
          <w:sz w:val="20"/>
          <w:szCs w:val="20"/>
          <w:vertAlign w:val="baseline"/>
          <w:lang w:val="en-US" w:eastAsia="zh-CN"/>
        </w:rPr>
        <w:t xml:space="preserve"> shown in </w:t>
      </w:r>
      <w:r>
        <w:rPr>
          <w:rFonts w:hint="default" w:ascii="Times New Roman" w:hAnsi="Times New Roman" w:cs="Times New Roman"/>
          <w:sz w:val="20"/>
          <w:szCs w:val="20"/>
          <w:vertAlign w:val="baseline"/>
          <w:lang w:val="en-US" w:eastAsia="zh-CN"/>
        </w:rPr>
        <w:fldChar w:fldCharType="begin"/>
      </w:r>
      <w:r>
        <w:rPr>
          <w:rFonts w:hint="default" w:ascii="Times New Roman" w:hAnsi="Times New Roman" w:cs="Times New Roman"/>
          <w:sz w:val="20"/>
          <w:szCs w:val="20"/>
          <w:vertAlign w:val="baseline"/>
          <w:lang w:val="en-US" w:eastAsia="zh-CN"/>
        </w:rPr>
        <w:instrText xml:space="preserve"> REF _Ref19295 \h </w:instrText>
      </w:r>
      <w:r>
        <w:rPr>
          <w:rFonts w:hint="default" w:ascii="Times New Roman" w:hAnsi="Times New Roman" w:cs="Times New Roman"/>
          <w:sz w:val="20"/>
          <w:szCs w:val="20"/>
          <w:vertAlign w:val="baseline"/>
          <w:lang w:val="en-US" w:eastAsia="zh-CN"/>
        </w:rPr>
        <w:fldChar w:fldCharType="separate"/>
      </w:r>
      <w:r>
        <w:rPr>
          <w:rFonts w:hint="default" w:ascii="Times New Roman" w:hAnsi="Times New Roman" w:cs="Times New Roman"/>
          <w:b w:val="0"/>
          <w:bCs w:val="0"/>
          <w:sz w:val="20"/>
          <w:szCs w:val="20"/>
        </w:rPr>
        <w:t>Figure 2</w:t>
      </w:r>
      <w:r>
        <w:rPr>
          <w:rFonts w:hint="default" w:ascii="Times New Roman" w:hAnsi="Times New Roman" w:cs="Times New Roman"/>
          <w:sz w:val="20"/>
          <w:szCs w:val="20"/>
          <w:vertAlign w:val="baseline"/>
          <w:lang w:val="en-US" w:eastAsia="zh-CN"/>
        </w:rPr>
        <w:fldChar w:fldCharType="end"/>
      </w:r>
      <w:r>
        <w:rPr>
          <w:rFonts w:hint="default" w:ascii="Times New Roman" w:hAnsi="Times New Roman" w:cs="Times New Roman"/>
          <w:sz w:val="20"/>
          <w:szCs w:val="20"/>
          <w:vertAlign w:val="baseline"/>
          <w:lang w:val="en-US" w:eastAsia="zh-CN"/>
        </w:rPr>
        <w:t>, UE has</w:t>
      </w:r>
      <w:r>
        <w:rPr>
          <w:rFonts w:hint="default" w:ascii="Times New Roman" w:hAnsi="Times New Roman" w:cs="Times New Roman"/>
          <w:sz w:val="20"/>
          <w:szCs w:val="20"/>
          <w:highlight w:val="none"/>
          <w:lang w:val="en-US" w:eastAsia="zh-CN"/>
        </w:rPr>
        <w:t xml:space="preserve"> to </w:t>
      </w:r>
      <w:r>
        <w:rPr>
          <w:rFonts w:hint="default" w:ascii="Times New Roman" w:hAnsi="Times New Roman" w:cs="Times New Roman"/>
          <w:sz w:val="20"/>
          <w:szCs w:val="20"/>
          <w:highlight w:val="none"/>
          <w:lang w:val="en-US" w:eastAsia="zh-CN"/>
        </w:rPr>
        <w:t>initiate RACH procedure when camps on a new cell</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 xml:space="preserve">If the new camped cell configures new TA for UE in Msg2, UE has to initiate RACH procedure. If the new cell configures new TA for UE in MAC CE, gNB has to support SDT to avoid UE enter RRC_CONNECT state. Both of these two choices require UE initiating new TA request or let gNB know there’s a new UE within its coverage. Therefore, frequent UE request is required to obtain new TA in Msg2 or MAC CE signal. </w:t>
      </w:r>
    </w:p>
    <w:p>
      <w:pPr>
        <w:keepNext w:val="0"/>
        <w:keepLines w:val="0"/>
        <w:pageBreakBefore w:val="0"/>
        <w:widowControl/>
        <w:kinsoku/>
        <w:wordWrap/>
        <w:overflowPunct/>
        <w:topLinePunct w:val="0"/>
        <w:autoSpaceDE/>
        <w:autoSpaceDN/>
        <w:bidi w:val="0"/>
        <w:adjustRightInd w:val="0"/>
        <w:snapToGrid w:val="0"/>
        <w:spacing w:after="181" w:afterLines="50" w:line="276"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3710940" cy="1736090"/>
            <wp:effectExtent l="0" t="0" r="3810" b="1651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8"/>
                    <a:stretch>
                      <a:fillRect/>
                    </a:stretch>
                  </pic:blipFill>
                  <pic:spPr>
                    <a:xfrm>
                      <a:off x="0" y="0"/>
                      <a:ext cx="3710940" cy="1736090"/>
                    </a:xfrm>
                    <a:prstGeom prst="rect">
                      <a:avLst/>
                    </a:prstGeom>
                    <a:noFill/>
                    <a:ln>
                      <a:noFill/>
                    </a:ln>
                  </pic:spPr>
                </pic:pic>
              </a:graphicData>
            </a:graphic>
          </wp:inline>
        </w:drawing>
      </w:r>
    </w:p>
    <w:p>
      <w:pPr>
        <w:pStyle w:val="15"/>
        <w:keepNext w:val="0"/>
        <w:keepLines w:val="0"/>
        <w:pageBreakBefore w:val="0"/>
        <w:widowControl/>
        <w:kinsoku/>
        <w:wordWrap/>
        <w:overflowPunct/>
        <w:topLinePunct w:val="0"/>
        <w:autoSpaceDE/>
        <w:autoSpaceDN/>
        <w:bidi w:val="0"/>
        <w:adjustRightInd w:val="0"/>
        <w:snapToGrid w:val="0"/>
        <w:spacing w:after="181" w:afterLines="50" w:line="276" w:lineRule="auto"/>
        <w:jc w:val="center"/>
        <w:textAlignment w:val="auto"/>
        <w:rPr>
          <w:rFonts w:hint="default" w:ascii="Times New Roman" w:hAnsi="Times New Roman" w:cs="Times New Roman" w:eastAsiaTheme="minorEastAsia"/>
          <w:b w:val="0"/>
          <w:bCs w:val="0"/>
          <w:lang w:val="en-US" w:eastAsia="zh-CN"/>
        </w:rPr>
      </w:pPr>
      <w:bookmarkStart w:id="10" w:name="_Ref19295"/>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2</w:t>
      </w:r>
      <w:r>
        <w:rPr>
          <w:rFonts w:hint="default" w:ascii="Times New Roman" w:hAnsi="Times New Roman" w:cs="Times New Roman"/>
          <w:b w:val="0"/>
          <w:bCs w:val="0"/>
        </w:rPr>
        <w:fldChar w:fldCharType="end"/>
      </w:r>
      <w:bookmarkEnd w:id="10"/>
      <w:r>
        <w:rPr>
          <w:rFonts w:hint="default" w:ascii="Times New Roman" w:hAnsi="Times New Roman" w:cs="Times New Roman"/>
          <w:b w:val="0"/>
          <w:bCs w:val="0"/>
          <w:lang w:val="en-US" w:eastAsia="zh-CN"/>
        </w:rPr>
        <w:t xml:space="preserve"> gNB configure new TA for UE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SIB contains the </w:t>
      </w:r>
      <w:r>
        <w:rPr>
          <w:rFonts w:hint="default" w:ascii="Times New Roman" w:hAnsi="Times New Roman" w:cs="Times New Roman"/>
          <w:i/>
          <w:sz w:val="20"/>
          <w:szCs w:val="20"/>
        </w:rPr>
        <w:t>TA offset</w:t>
      </w:r>
      <w:r>
        <w:rPr>
          <w:rFonts w:hint="default" w:ascii="Times New Roman" w:hAnsi="Times New Roman" w:cs="Times New Roman"/>
          <w:sz w:val="20"/>
          <w:szCs w:val="20"/>
        </w:rPr>
        <w:t xml:space="preserve"> value for UE, but it’s a </w:t>
      </w:r>
      <w:r>
        <w:rPr>
          <w:rFonts w:hint="default" w:ascii="Times New Roman" w:hAnsi="Times New Roman" w:eastAsia="Times-Roman" w:cs="Times New Roman"/>
          <w:color w:val="000000"/>
          <w:sz w:val="19"/>
          <w:szCs w:val="19"/>
          <w:lang w:bidi="ar"/>
        </w:rPr>
        <w:t xml:space="preserve">cell specific parameter, the new camps-on UE’s </w:t>
      </w:r>
      <w:r>
        <w:rPr>
          <w:rFonts w:hint="default" w:ascii="Times New Roman" w:hAnsi="Times New Roman" w:eastAsia="Times-Roman" w:cs="Times New Roman"/>
          <w:i/>
          <w:color w:val="000000"/>
          <w:sz w:val="19"/>
          <w:szCs w:val="19"/>
          <w:lang w:bidi="ar"/>
        </w:rPr>
        <w:t>N_TA</w:t>
      </w:r>
      <w:r>
        <w:rPr>
          <w:rFonts w:hint="default" w:ascii="Times New Roman" w:hAnsi="Times New Roman" w:eastAsia="Times-Roman" w:cs="Times New Roman"/>
          <w:color w:val="000000"/>
          <w:sz w:val="19"/>
          <w:szCs w:val="19"/>
          <w:lang w:bidi="ar"/>
        </w:rPr>
        <w:t xml:space="preserve"> (from previous serving cell) combining </w:t>
      </w:r>
      <w:r>
        <w:rPr>
          <w:rFonts w:hint="default" w:ascii="Times New Roman" w:hAnsi="Times New Roman" w:cs="Times New Roman"/>
          <w:i/>
          <w:sz w:val="20"/>
          <w:szCs w:val="20"/>
        </w:rPr>
        <w:t>N_TA-Offset</w:t>
      </w:r>
      <w:r>
        <w:rPr>
          <w:rFonts w:hint="default" w:ascii="Times New Roman" w:hAnsi="Times New Roman" w:cs="Times New Roman"/>
          <w:sz w:val="20"/>
          <w:szCs w:val="20"/>
        </w:rPr>
        <w:t xml:space="preserve"> (from current camp cell) is not applicable to the TA determination. Hence, we have the following observation:</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i/>
          <w:iCs/>
          <w:lang w:val="en-US" w:eastAsia="zh-CN"/>
        </w:rPr>
      </w:pPr>
      <w:bookmarkStart w:id="11" w:name="_Ref16783"/>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3</w:t>
      </w:r>
      <w:r>
        <w:rPr>
          <w:rFonts w:hint="default" w:ascii="Times New Roman" w:hAnsi="Times New Roman" w:cs="Times New Roman"/>
          <w:i/>
          <w:iCs/>
        </w:rPr>
        <w:fldChar w:fldCharType="end"/>
      </w:r>
      <w:r>
        <w:rPr>
          <w:rFonts w:hint="default" w:ascii="Times New Roman" w:hAnsi="Times New Roman" w:cs="Times New Roman"/>
          <w:i/>
          <w:iCs/>
          <w:lang w:val="en-US" w:eastAsia="zh-CN"/>
        </w:rPr>
        <w:t xml:space="preserve">: If </w:t>
      </w:r>
      <w:r>
        <w:rPr>
          <w:rFonts w:hint="default" w:ascii="Times New Roman" w:hAnsi="Times New Roman" w:cs="Times New Roman"/>
          <w:i/>
          <w:iCs/>
          <w:lang w:val="en-US" w:eastAsia="ja-JP"/>
        </w:rPr>
        <w:t xml:space="preserve">a </w:t>
      </w:r>
      <w:r>
        <w:rPr>
          <w:rFonts w:hint="eastAsia" w:cs="Times New Roman"/>
          <w:i/>
          <w:iCs/>
          <w:lang w:val="en-US" w:eastAsia="zh-CN"/>
        </w:rPr>
        <w:t xml:space="preserve">new </w:t>
      </w:r>
      <w:r>
        <w:rPr>
          <w:rFonts w:hint="default" w:ascii="Times New Roman" w:hAnsi="Times New Roman" w:cs="Times New Roman"/>
          <w:i/>
          <w:iCs/>
          <w:lang w:val="en-US" w:eastAsia="ja-JP"/>
        </w:rPr>
        <w:t xml:space="preserve">cell can configure TA for UE when UE camps on </w:t>
      </w:r>
      <w:r>
        <w:rPr>
          <w:rFonts w:hint="eastAsia" w:cs="Times New Roman"/>
          <w:i/>
          <w:iCs/>
          <w:lang w:val="en-US" w:eastAsia="zh-CN"/>
        </w:rPr>
        <w:t xml:space="preserve">this </w:t>
      </w:r>
      <w:r>
        <w:rPr>
          <w:rFonts w:hint="default" w:ascii="Times New Roman" w:hAnsi="Times New Roman" w:cs="Times New Roman"/>
          <w:i/>
          <w:iCs/>
          <w:lang w:val="en-US" w:eastAsia="ja-JP"/>
        </w:rPr>
        <w:t>cell, UE has to initiate RACH procedure. And the new cell should support SDT feature to avoid UE entering RRC_CONNECTED state.</w:t>
      </w:r>
      <w:r>
        <w:rPr>
          <w:rFonts w:hint="default" w:ascii="Times New Roman" w:hAnsi="Times New Roman" w:cs="Times New Roman"/>
          <w:i/>
          <w:iCs/>
          <w:lang w:val="en-US" w:eastAsia="zh-CN"/>
        </w:rPr>
        <w:t xml:space="preserve"> </w:t>
      </w:r>
      <w:bookmarkEnd w:id="11"/>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Based on the above analysis, we have the following proposal:</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i/>
          <w:iCs/>
          <w:sz w:val="20"/>
          <w:szCs w:val="20"/>
          <w:lang w:val="en-US" w:eastAsia="zh-CN"/>
        </w:rPr>
      </w:pPr>
      <w:bookmarkStart w:id="12" w:name="_Ref21708"/>
      <w:r>
        <w:rPr>
          <w:rFonts w:hint="default" w:ascii="Times New Roman" w:hAnsi="Times New Roman" w:cs="Times New Roman"/>
          <w:b/>
          <w:bCs/>
          <w:i/>
          <w:iCs/>
          <w:sz w:val="20"/>
          <w:szCs w:val="20"/>
        </w:rPr>
        <w:t xml:space="preserve">Proposal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Proposal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1</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Support one of the following TA determination options when UE camps on a new cell within the validity area:</w:t>
      </w:r>
      <w:bookmarkEnd w:id="12"/>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UE automatically calculates the corresponding TA of a new cell if let UE know the coordinat</w:t>
      </w:r>
      <w:r>
        <w:rPr>
          <w:rFonts w:hint="eastAsia" w:ascii="Times New Roman" w:hAnsi="Times New Roman" w:cs="Times New Roman"/>
          <w:b/>
          <w:bCs/>
          <w:i/>
          <w:iCs/>
          <w:sz w:val="20"/>
          <w:szCs w:val="20"/>
          <w:lang w:val="en-US" w:eastAsia="zh-CN"/>
        </w:rPr>
        <w:t>es</w:t>
      </w:r>
      <w:r>
        <w:rPr>
          <w:rFonts w:hint="default" w:ascii="Times New Roman" w:hAnsi="Times New Roman" w:cs="Times New Roman"/>
          <w:b/>
          <w:bCs/>
          <w:i/>
          <w:iCs/>
          <w:sz w:val="20"/>
          <w:szCs w:val="20"/>
          <w:lang w:val="en-US" w:eastAsia="zh-CN"/>
        </w:rPr>
        <w:t xml:space="preserve"> of gNBs within the validity area. </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UE reuses the TA configured by the last serving gNB across multiple cells within the SRS configuration validity area.</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gNB configures new TA for UE when UE camps on a new cell based on the SDT procedure.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In Rel-17, UE receives </w:t>
      </w:r>
      <w:r>
        <w:rPr>
          <w:rFonts w:hint="default" w:ascii="Times New Roman" w:hAnsi="Times New Roman" w:cs="Times New Roman"/>
          <w:i/>
          <w:sz w:val="20"/>
          <w:szCs w:val="20"/>
        </w:rPr>
        <w:t>RRCRelease</w:t>
      </w:r>
      <w:r>
        <w:rPr>
          <w:rFonts w:hint="default" w:ascii="Times New Roman" w:hAnsi="Times New Roman" w:cs="Times New Roman"/>
          <w:sz w:val="20"/>
          <w:szCs w:val="20"/>
        </w:rPr>
        <w:t xml:space="preserve"> signal when UE release RRC connection, which include </w:t>
      </w:r>
      <w:r>
        <w:rPr>
          <w:rFonts w:hint="default" w:ascii="Times New Roman" w:hAnsi="Times New Roman" w:cs="Times New Roman"/>
          <w:i/>
          <w:sz w:val="20"/>
          <w:szCs w:val="20"/>
        </w:rPr>
        <w:t>SRS-PosRRC-InactiveConfig</w:t>
      </w:r>
      <w:r>
        <w:rPr>
          <w:rFonts w:hint="default" w:ascii="Times New Roman" w:hAnsi="Times New Roman" w:cs="Times New Roman"/>
          <w:sz w:val="20"/>
          <w:szCs w:val="20"/>
        </w:rPr>
        <w:t xml:space="preserve"> for the SRS configuration in RRC_INACTIVE state, the following configuration define</w:t>
      </w:r>
      <w:r>
        <w:rPr>
          <w:rFonts w:hint="eastAsia" w:ascii="Times New Roman" w:hAnsi="Times New Roman" w:cs="Times New Roman"/>
          <w:sz w:val="20"/>
          <w:szCs w:val="20"/>
          <w:lang w:val="en-US" w:eastAsia="zh-CN"/>
        </w:rPr>
        <w:t>s</w:t>
      </w:r>
      <w:r>
        <w:rPr>
          <w:rFonts w:hint="default" w:ascii="Times New Roman" w:hAnsi="Times New Roman" w:cs="Times New Roman"/>
          <w:sz w:val="20"/>
          <w:szCs w:val="20"/>
        </w:rPr>
        <w:t xml:space="preserve"> the TA validation for SRS transmission in RRC_INACTIVE</w:t>
      </w:r>
      <w:r>
        <w:rPr>
          <w:rFonts w:hint="eastAsia" w:ascii="Times New Roman" w:hAnsi="Times New Roman" w:cs="Times New Roman"/>
          <w:sz w:val="20"/>
          <w:szCs w:val="20"/>
          <w:lang w:val="en-US" w:eastAsia="zh-CN"/>
        </w:rPr>
        <w:t xml:space="preserve"> state</w:t>
      </w:r>
      <w:r>
        <w:rPr>
          <w:rFonts w:hint="default" w:ascii="Times New Roman" w:hAnsi="Times New Roman" w:cs="Times New Roman"/>
          <w:sz w:val="20"/>
          <w:szCs w:val="20"/>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kinsoku/>
              <w:wordWrap/>
              <w:overflowPunct/>
              <w:topLinePunct w:val="0"/>
              <w:autoSpaceDE w:val="0"/>
              <w:autoSpaceDN w:val="0"/>
              <w:bidi w:val="0"/>
              <w:adjustRightInd w:val="0"/>
              <w:snapToGrid w:val="0"/>
              <w:spacing w:before="181" w:beforeLines="50" w:after="181" w:afterLines="50" w:line="240" w:lineRule="auto"/>
              <w:jc w:val="both"/>
              <w:textAlignment w:val="auto"/>
              <w:rPr>
                <w:rFonts w:hint="default" w:ascii="Times New Roman" w:hAnsi="Times New Roman" w:cs="Times New Roman"/>
                <w:snapToGrid w:val="0"/>
                <w:sz w:val="20"/>
              </w:rPr>
            </w:pPr>
            <w:r>
              <w:rPr>
                <w:rFonts w:hint="default" w:ascii="Times New Roman" w:hAnsi="Times New Roman" w:cs="Times New Roman"/>
                <w:b/>
                <w:sz w:val="20"/>
                <w:szCs w:val="20"/>
                <w:u w:val="single"/>
                <w:lang w:val="en-US" w:eastAsia="zh-CN"/>
              </w:rPr>
              <w:t>TS 38.321 5.2 Maintenance of Uplink Time alignment: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RRC configures the following parameters for the maintenance of UL time alignment:</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i/>
                <w:sz w:val="20"/>
                <w:szCs w:val="20"/>
                <w:lang w:eastAsia="ko-KR"/>
              </w:rPr>
              <w:t>timeAlignmentTimer</w:t>
            </w:r>
            <w:r>
              <w:rPr>
                <w:rFonts w:hint="default" w:ascii="Times New Roman" w:hAnsi="Times New Roman" w:cs="Times New Roman"/>
                <w:sz w:val="20"/>
                <w:szCs w:val="20"/>
                <w:lang w:eastAsia="ko-KR"/>
              </w:rPr>
              <w:t xml:space="preserve"> (per TAG) which controls how long the MAC entity considers the Serving Cells belonging to the associated TAG to be uplink time aligned;</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highlight w:val="none"/>
                <w:lang w:eastAsia="ko-KR"/>
              </w:rPr>
            </w:pPr>
            <w:r>
              <w:rPr>
                <w:rFonts w:hint="default" w:ascii="Times New Roman" w:hAnsi="Times New Roman" w:cs="Times New Roman"/>
                <w:sz w:val="20"/>
                <w:szCs w:val="20"/>
                <w:highlight w:val="none"/>
                <w:lang w:eastAsia="zh-CN"/>
              </w:rPr>
              <w:t>-</w:t>
            </w:r>
            <w:r>
              <w:rPr>
                <w:rFonts w:hint="default" w:ascii="Times New Roman" w:hAnsi="Times New Roman" w:cs="Times New Roman"/>
                <w:sz w:val="20"/>
                <w:szCs w:val="20"/>
                <w:highlight w:val="none"/>
                <w:lang w:eastAsia="zh-CN"/>
              </w:rPr>
              <w:tab/>
            </w:r>
            <w:r>
              <w:rPr>
                <w:rFonts w:hint="default" w:ascii="Times New Roman" w:hAnsi="Times New Roman" w:cs="Times New Roman"/>
                <w:i/>
                <w:sz w:val="20"/>
                <w:szCs w:val="20"/>
                <w:highlight w:val="none"/>
                <w:lang w:eastAsia="zh-CN"/>
              </w:rPr>
              <w:t>inactivePosSRS-TimeAlignmentTimer</w:t>
            </w:r>
            <w:r>
              <w:rPr>
                <w:rFonts w:hint="default" w:ascii="Times New Roman" w:hAnsi="Times New Roman" w:cs="Times New Roman"/>
                <w:sz w:val="20"/>
                <w:szCs w:val="20"/>
                <w:highlight w:val="none"/>
                <w:lang w:eastAsia="zh-CN"/>
              </w:rPr>
              <w:t xml:space="preserve"> which controls how long the MAC entity considers the Positioning SRS transmission in RRC_INACTIVE in clause 5.26 to be uplink time aligned;</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i/>
                <w:sz w:val="20"/>
                <w:szCs w:val="20"/>
                <w:lang w:eastAsia="ko-KR"/>
              </w:rPr>
              <w:t>cg-SDT-TimeAlignmentTimer</w:t>
            </w:r>
            <w:r>
              <w:rPr>
                <w:rFonts w:hint="default" w:ascii="Times New Roman" w:hAnsi="Times New Roman" w:cs="Times New Roman"/>
                <w:sz w:val="20"/>
                <w:szCs w:val="20"/>
                <w:lang w:eastAsia="ko-KR"/>
              </w:rPr>
              <w:t xml:space="preserve"> which controls how long the MAC entity considers the uplink transmission for CG-SDT to be uplink time aligned.</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 MAC entity shall:</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eastAsia="ko-KR"/>
              </w:rPr>
              <w:t>1&gt;</w:t>
            </w:r>
            <w:r>
              <w:rPr>
                <w:rFonts w:hint="default" w:ascii="Times New Roman" w:hAnsi="Times New Roman" w:cs="Times New Roman"/>
                <w:sz w:val="20"/>
                <w:szCs w:val="20"/>
              </w:rPr>
              <w:tab/>
            </w:r>
            <w:r>
              <w:rPr>
                <w:rFonts w:hint="default" w:ascii="Times New Roman" w:hAnsi="Times New Roman" w:cs="Times New Roman"/>
                <w:sz w:val="20"/>
                <w:szCs w:val="20"/>
              </w:rPr>
              <w:t xml:space="preserve">when a Timing Advance Command MAC </w:t>
            </w:r>
            <w:r>
              <w:rPr>
                <w:rFonts w:hint="default" w:ascii="Times New Roman" w:hAnsi="Times New Roman" w:cs="Times New Roman"/>
                <w:sz w:val="20"/>
                <w:szCs w:val="20"/>
                <w:lang w:eastAsia="ko-KR"/>
              </w:rPr>
              <w:t>CE</w:t>
            </w:r>
            <w:r>
              <w:rPr>
                <w:rFonts w:hint="default" w:ascii="Times New Roman" w:hAnsi="Times New Roman" w:cs="Times New Roman"/>
                <w:sz w:val="20"/>
                <w:szCs w:val="20"/>
              </w:rPr>
              <w:t xml:space="preserve"> is received</w:t>
            </w:r>
            <w:r>
              <w:rPr>
                <w:rFonts w:hint="default" w:ascii="Times New Roman" w:hAnsi="Times New Roman" w:cs="Times New Roman"/>
                <w:sz w:val="20"/>
                <w:szCs w:val="20"/>
                <w:lang w:eastAsia="ko-KR"/>
              </w:rPr>
              <w:t>, and if an N</w:t>
            </w:r>
            <w:r>
              <w:rPr>
                <w:rFonts w:hint="default" w:ascii="Times New Roman" w:hAnsi="Times New Roman" w:cs="Times New Roman"/>
                <w:sz w:val="20"/>
                <w:szCs w:val="20"/>
                <w:vertAlign w:val="subscript"/>
                <w:lang w:eastAsia="ko-KR"/>
              </w:rPr>
              <w:t>TA</w:t>
            </w:r>
            <w:r>
              <w:rPr>
                <w:rFonts w:hint="default" w:ascii="Times New Roman" w:hAnsi="Times New Roman" w:cs="Times New Roman"/>
                <w:sz w:val="20"/>
                <w:szCs w:val="20"/>
                <w:lang w:eastAsia="ko-KR"/>
              </w:rPr>
              <w:t xml:space="preserve"> (as defined in TS 38.211 [8]) has been maintained with the indicated TAG</w:t>
            </w:r>
            <w:r>
              <w:rPr>
                <w:rFonts w:hint="default" w:ascii="Times New Roman" w:hAnsi="Times New Roman" w:cs="Times New Roman"/>
                <w:sz w:val="20"/>
                <w:szCs w:val="20"/>
              </w:rPr>
              <w:t>:</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highlight w:val="none"/>
              </w:rPr>
            </w:pPr>
            <w:r>
              <w:rPr>
                <w:rFonts w:hint="default" w:ascii="Times New Roman" w:hAnsi="Times New Roman" w:cs="Times New Roman"/>
                <w:sz w:val="20"/>
                <w:szCs w:val="20"/>
                <w:highlight w:val="none"/>
                <w:lang w:eastAsia="ko-KR"/>
              </w:rPr>
              <w:t>2&gt;</w:t>
            </w:r>
            <w:r>
              <w:rPr>
                <w:rFonts w:hint="default" w:ascii="Times New Roman" w:hAnsi="Times New Roman" w:cs="Times New Roman"/>
                <w:sz w:val="20"/>
                <w:szCs w:val="20"/>
                <w:highlight w:val="none"/>
              </w:rPr>
              <w:tab/>
            </w:r>
            <w:r>
              <w:rPr>
                <w:rFonts w:hint="default" w:ascii="Times New Roman" w:hAnsi="Times New Roman" w:cs="Times New Roman"/>
                <w:sz w:val="20"/>
                <w:szCs w:val="20"/>
                <w:highlight w:val="none"/>
              </w:rPr>
              <w:t>apply the Timing Advance Command for the indicated TAG;</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ko-KR"/>
              </w:rPr>
              <w:t>2&gt;</w:t>
            </w:r>
            <w:r>
              <w:rPr>
                <w:rFonts w:hint="default" w:ascii="Times New Roman" w:hAnsi="Times New Roman" w:cs="Times New Roman"/>
                <w:sz w:val="20"/>
                <w:szCs w:val="20"/>
                <w:highlight w:val="none"/>
                <w:lang w:eastAsia="ko-KR"/>
              </w:rPr>
              <w:tab/>
            </w:r>
            <w:r>
              <w:rPr>
                <w:rFonts w:hint="default" w:ascii="Times New Roman" w:hAnsi="Times New Roman" w:cs="Times New Roman"/>
                <w:sz w:val="20"/>
                <w:szCs w:val="20"/>
                <w:highlight w:val="none"/>
                <w:lang w:eastAsia="ko-KR"/>
              </w:rPr>
              <w:t xml:space="preserve">if </w:t>
            </w:r>
            <w:r>
              <w:rPr>
                <w:rFonts w:hint="default" w:ascii="Times New Roman" w:hAnsi="Times New Roman" w:cs="Times New Roman"/>
                <w:sz w:val="20"/>
                <w:szCs w:val="20"/>
                <w:highlight w:val="none"/>
                <w:lang w:eastAsia="zh-CN"/>
              </w:rPr>
              <w:t>there is ongoing Positioning SRS Transmission in RRC_INACTIVE as in clause 5.26:</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ind w:firstLine="0"/>
              <w:jc w:val="both"/>
              <w:textAlignment w:val="auto"/>
              <w:rPr>
                <w:rFonts w:hint="default" w:ascii="Times New Roman" w:hAnsi="Times New Roman" w:cs="Times New Roman"/>
                <w:sz w:val="20"/>
                <w:szCs w:val="20"/>
                <w:highlight w:val="none"/>
                <w:lang w:eastAsia="zh-CN"/>
              </w:rPr>
            </w:pPr>
            <w:r>
              <w:rPr>
                <w:rFonts w:hint="default" w:ascii="Times New Roman" w:hAnsi="Times New Roman" w:cs="Times New Roman"/>
                <w:sz w:val="20"/>
                <w:szCs w:val="20"/>
                <w:highlight w:val="none"/>
                <w:lang w:eastAsia="ko-KR"/>
              </w:rPr>
              <w:t>3&gt;</w:t>
            </w:r>
            <w:r>
              <w:rPr>
                <w:rFonts w:hint="default" w:ascii="Times New Roman" w:hAnsi="Times New Roman" w:cs="Times New Roman"/>
                <w:sz w:val="20"/>
                <w:szCs w:val="20"/>
                <w:highlight w:val="none"/>
                <w:lang w:eastAsia="ko-KR"/>
              </w:rPr>
              <w:tab/>
            </w:r>
            <w:r>
              <w:rPr>
                <w:rFonts w:hint="default" w:ascii="Times New Roman" w:hAnsi="Times New Roman" w:cs="Times New Roman"/>
                <w:sz w:val="20"/>
                <w:szCs w:val="20"/>
                <w:highlight w:val="none"/>
                <w:lang w:eastAsia="zh-CN"/>
              </w:rPr>
              <w:t xml:space="preserve">start or restart the </w:t>
            </w:r>
            <w:r>
              <w:rPr>
                <w:rFonts w:hint="default" w:ascii="Times New Roman" w:hAnsi="Times New Roman" w:cs="Times New Roman"/>
                <w:i/>
                <w:sz w:val="20"/>
                <w:szCs w:val="20"/>
                <w:highlight w:val="none"/>
                <w:lang w:eastAsia="zh-CN"/>
              </w:rPr>
              <w:t>inactivePosSRS-TimeAlignmentTimer</w:t>
            </w:r>
            <w:r>
              <w:rPr>
                <w:rFonts w:hint="default" w:ascii="Times New Roman" w:hAnsi="Times New Roman" w:cs="Times New Roman"/>
                <w:iCs/>
                <w:sz w:val="20"/>
                <w:szCs w:val="20"/>
                <w:highlight w:val="none"/>
                <w:lang w:eastAsia="zh-CN"/>
              </w:rPr>
              <w:t xml:space="preserve"> </w:t>
            </w:r>
            <w:r>
              <w:rPr>
                <w:rFonts w:hint="default" w:ascii="Times New Roman" w:hAnsi="Times New Roman" w:cs="Times New Roman"/>
                <w:sz w:val="20"/>
                <w:szCs w:val="20"/>
                <w:highlight w:val="none"/>
              </w:rPr>
              <w:t>associated with the indicated TAG</w:t>
            </w:r>
            <w:r>
              <w:rPr>
                <w:rFonts w:hint="default" w:ascii="Times New Roman" w:hAnsi="Times New Roman" w:cs="Times New Roman"/>
                <w:sz w:val="20"/>
                <w:szCs w:val="20"/>
                <w:highlight w:val="none"/>
                <w:lang w:eastAsia="zh-CN"/>
              </w:rPr>
              <w:t>.</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highlight w:val="none"/>
                <w:lang w:eastAsia="ko-KR"/>
              </w:rPr>
              <w:t>2&gt;</w:t>
            </w:r>
            <w:r>
              <w:rPr>
                <w:rFonts w:hint="default" w:ascii="Times New Roman" w:hAnsi="Times New Roman" w:cs="Times New Roman"/>
                <w:sz w:val="20"/>
                <w:szCs w:val="20"/>
                <w:highlight w:val="none"/>
                <w:lang w:eastAsia="ko-KR"/>
              </w:rPr>
              <w:tab/>
            </w:r>
            <w:r>
              <w:rPr>
                <w:rFonts w:hint="default" w:ascii="Times New Roman" w:hAnsi="Times New Roman" w:cs="Times New Roman"/>
                <w:sz w:val="20"/>
                <w:szCs w:val="20"/>
                <w:highlight w:val="none"/>
                <w:lang w:eastAsia="ko-KR"/>
              </w:rPr>
              <w:t xml:space="preserve">if </w:t>
            </w:r>
            <w:r>
              <w:rPr>
                <w:rFonts w:hint="default" w:ascii="Times New Roman" w:hAnsi="Times New Roman" w:cs="Times New Roman"/>
                <w:sz w:val="20"/>
                <w:szCs w:val="20"/>
                <w:highlight w:val="none"/>
                <w:lang w:eastAsia="zh-CN"/>
              </w:rPr>
              <w:t>CG-SDT procedure triggered as</w:t>
            </w:r>
            <w:r>
              <w:rPr>
                <w:rFonts w:hint="default" w:ascii="Times New Roman" w:hAnsi="Times New Roman" w:cs="Times New Roman"/>
                <w:sz w:val="20"/>
                <w:szCs w:val="20"/>
                <w:lang w:eastAsia="zh-CN"/>
              </w:rPr>
              <w:t xml:space="preserve"> in clause 5.27 is ongoing:</w:t>
            </w:r>
          </w:p>
          <w:p>
            <w:pPr>
              <w:pStyle w:val="80"/>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ko-KR"/>
              </w:rPr>
              <w:t>3&gt;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zh-CN"/>
              </w:rPr>
              <w:t xml:space="preserve">start or restart the </w:t>
            </w:r>
            <w:r>
              <w:rPr>
                <w:rFonts w:hint="default" w:ascii="Times New Roman" w:hAnsi="Times New Roman" w:cs="Times New Roman"/>
                <w:i/>
                <w:sz w:val="20"/>
                <w:szCs w:val="20"/>
                <w:lang w:eastAsia="zh-CN"/>
              </w:rPr>
              <w:t>cg-SDT-TimeAlignmentTimer</w:t>
            </w:r>
            <w:r>
              <w:rPr>
                <w:rFonts w:hint="default" w:ascii="Times New Roman" w:hAnsi="Times New Roman" w:cs="Times New Roman"/>
                <w:iCs/>
                <w:sz w:val="20"/>
                <w:szCs w:val="20"/>
                <w:lang w:eastAsia="zh-CN"/>
              </w:rPr>
              <w:t xml:space="preserve"> </w:t>
            </w:r>
            <w:r>
              <w:rPr>
                <w:rFonts w:hint="default" w:ascii="Times New Roman" w:hAnsi="Times New Roman" w:cs="Times New Roman"/>
                <w:sz w:val="20"/>
                <w:szCs w:val="20"/>
                <w:lang w:eastAsia="zh-CN"/>
              </w:rPr>
              <w:t>associated with the indicated TAG.</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2&gt;</w:t>
            </w:r>
            <w:r>
              <w:rPr>
                <w:rFonts w:hint="default" w:ascii="Times New Roman" w:hAnsi="Times New Roman" w:cs="Times New Roman"/>
                <w:sz w:val="20"/>
                <w:szCs w:val="20"/>
                <w:lang w:eastAsia="ko-KR"/>
              </w:rPr>
              <w:tab/>
            </w:r>
            <w:r>
              <w:rPr>
                <w:rFonts w:hint="default" w:ascii="Times New Roman" w:hAnsi="Times New Roman" w:cs="Times New Roman"/>
                <w:sz w:val="20"/>
                <w:szCs w:val="20"/>
                <w:lang w:eastAsia="ko-KR"/>
              </w:rPr>
              <w:t>else:</w:t>
            </w:r>
          </w:p>
          <w:p>
            <w:pPr>
              <w:pStyle w:val="80"/>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3&gt;</w:t>
            </w:r>
            <w:r>
              <w:rPr>
                <w:rFonts w:hint="default" w:ascii="Times New Roman" w:hAnsi="Times New Roman" w:cs="Times New Roman"/>
                <w:sz w:val="20"/>
                <w:szCs w:val="20"/>
              </w:rPr>
              <w:tab/>
            </w:r>
            <w:r>
              <w:rPr>
                <w:rFonts w:hint="default" w:ascii="Times New Roman" w:hAnsi="Times New Roman" w:cs="Times New Roman"/>
                <w:sz w:val="20"/>
                <w:szCs w:val="20"/>
              </w:rPr>
              <w:t xml:space="preserve">start or restart the </w:t>
            </w:r>
            <w:r>
              <w:rPr>
                <w:rFonts w:hint="default" w:ascii="Times New Roman" w:hAnsi="Times New Roman" w:cs="Times New Roman"/>
                <w:i/>
                <w:sz w:val="20"/>
                <w:szCs w:val="20"/>
              </w:rPr>
              <w:t>timeAlignmentTimer</w:t>
            </w:r>
            <w:r>
              <w:rPr>
                <w:rFonts w:hint="default" w:ascii="Times New Roman" w:hAnsi="Times New Roman" w:cs="Times New Roman"/>
                <w:sz w:val="20"/>
                <w:szCs w:val="20"/>
              </w:rPr>
              <w:t xml:space="preserve"> associated with the indicated TAG</w:t>
            </w:r>
            <w:r>
              <w:rPr>
                <w:rFonts w:hint="default" w:ascii="Times New Roman" w:hAnsi="Times New Roman" w:cs="Times New Roman"/>
                <w:sz w:val="20"/>
                <w:szCs w:val="20"/>
                <w:lang w:eastAsia="ko-KR"/>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center"/>
              <w:textAlignment w:val="auto"/>
              <w:rPr>
                <w:rFonts w:hint="default" w:ascii="Times New Roman" w:hAnsi="Times New Roman" w:cs="Times New Roman"/>
                <w:sz w:val="20"/>
                <w:szCs w:val="20"/>
                <w:lang w:val="en-US" w:eastAsia="zh-CN"/>
              </w:rPr>
            </w:pPr>
            <w:r>
              <w:rPr>
                <w:rFonts w:hint="default" w:ascii="Times New Roman" w:hAnsi="Times New Roman" w:cs="Times New Roman"/>
                <w:color w:val="C00000"/>
                <w:sz w:val="20"/>
                <w:szCs w:val="20"/>
                <w:lang w:val="en-US" w:eastAsia="zh-CN"/>
              </w:rPr>
              <w:t>---UNRELATED PART OMITTED---</w:t>
            </w:r>
          </w:p>
          <w:p>
            <w:pPr>
              <w:keepNext w:val="0"/>
              <w:keepLines w:val="0"/>
              <w:pageBreakBefore w:val="0"/>
              <w:widowControl/>
              <w:kinsoku/>
              <w:wordWrap/>
              <w:overflowPunct/>
              <w:topLinePunct w:val="0"/>
              <w:autoSpaceDE w:val="0"/>
              <w:autoSpaceDN w:val="0"/>
              <w:bidi w:val="0"/>
              <w:adjustRightInd w:val="0"/>
              <w:snapToGrid w:val="0"/>
              <w:spacing w:before="181" w:beforeLines="50" w:after="181" w:afterLines="50" w:line="240" w:lineRule="auto"/>
              <w:jc w:val="both"/>
              <w:textAlignment w:val="auto"/>
              <w:rPr>
                <w:rFonts w:hint="default" w:ascii="Times New Roman" w:hAnsi="Times New Roman" w:cs="Times New Roman"/>
                <w:snapToGrid w:val="0"/>
                <w:sz w:val="20"/>
              </w:rPr>
            </w:pPr>
            <w:r>
              <w:rPr>
                <w:rFonts w:hint="default" w:ascii="Times New Roman" w:hAnsi="Times New Roman" w:cs="Times New Roman"/>
                <w:b/>
                <w:sz w:val="20"/>
                <w:szCs w:val="20"/>
                <w:u w:val="single"/>
                <w:lang w:val="en-US" w:eastAsia="zh-CN"/>
              </w:rPr>
              <w:t>TS 38.321 5.26 Positioning SRS transmission in RRC_INACTIVE: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bookmarkStart w:id="13" w:name="_Hlk95993306"/>
            <w:r>
              <w:rPr>
                <w:rFonts w:hint="default" w:ascii="Times New Roman" w:hAnsi="Times New Roman" w:cs="Times New Roman"/>
                <w:sz w:val="20"/>
                <w:szCs w:val="20"/>
                <w:lang w:eastAsia="ko-KR"/>
              </w:rPr>
              <w:t>RRC configures the following parameters for validation for SRS transmission in RRC_INACTIVE:</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ko-KR"/>
              </w:rPr>
            </w:pPr>
            <w:r>
              <w:rPr>
                <w:rFonts w:hint="default" w:ascii="Times New Roman" w:hAnsi="Times New Roman" w:cs="Times New Roman"/>
                <w:sz w:val="20"/>
                <w:szCs w:val="20"/>
                <w:lang w:eastAsia="ko-KR"/>
              </w:rPr>
              <w:t>-</w:t>
            </w:r>
            <w:r>
              <w:rPr>
                <w:rFonts w:hint="default" w:ascii="Times New Roman" w:hAnsi="Times New Roman" w:cs="Times New Roman"/>
                <w:sz w:val="20"/>
                <w:szCs w:val="20"/>
                <w:lang w:eastAsia="ko-KR"/>
              </w:rPr>
              <w:tab/>
            </w:r>
            <w:r>
              <w:rPr>
                <w:rFonts w:hint="default" w:ascii="Times New Roman" w:hAnsi="Times New Roman" w:cs="Times New Roman"/>
                <w:i/>
                <w:iCs/>
                <w:sz w:val="20"/>
                <w:szCs w:val="20"/>
                <w:lang w:eastAsia="ko-KR"/>
              </w:rPr>
              <w:t>inactivePosSRS-RSRP-ChangeThreshold</w:t>
            </w:r>
            <w:r>
              <w:rPr>
                <w:rFonts w:hint="default" w:ascii="Times New Roman" w:hAnsi="Times New Roman" w:cs="Times New Roman"/>
                <w:sz w:val="20"/>
                <w:szCs w:val="20"/>
                <w:lang w:eastAsia="ko-KR"/>
              </w:rPr>
              <w:t>: RSRP threshold for the increase/decrease of RSRP for time alignment validation.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MAC entity shall:</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if the UE receives configuration for </w:t>
            </w:r>
            <w:r>
              <w:rPr>
                <w:rFonts w:hint="default" w:ascii="Times New Roman" w:hAnsi="Times New Roman" w:eastAsia="等线" w:cs="Times New Roman"/>
                <w:sz w:val="20"/>
                <w:szCs w:val="20"/>
                <w:lang w:eastAsia="zh-CN"/>
              </w:rPr>
              <w:t>SRS transmission in RRC_INACTIVE</w:t>
            </w:r>
            <w:r>
              <w:rPr>
                <w:rFonts w:hint="default" w:ascii="Times New Roman" w:hAnsi="Times New Roman" w:cs="Times New Roman"/>
                <w:sz w:val="20"/>
                <w:szCs w:val="20"/>
                <w:lang w:eastAsia="zh-CN"/>
              </w:rPr>
              <w:t>:</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store the RSRP of the downlink pathloss reference </w:t>
            </w:r>
            <w:r>
              <w:rPr>
                <w:rFonts w:hint="default" w:ascii="Times New Roman" w:hAnsi="Times New Roman" w:cs="Times New Roman"/>
                <w:sz w:val="20"/>
                <w:szCs w:val="20"/>
              </w:rPr>
              <w:t>with the current RSRP value of the downlink pathloss reference as in TS 38.331 [5].</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1&gt;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else if the UE is configured with SRS transmission in RRC_INACTIVE:</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if</w:t>
            </w:r>
            <w:r>
              <w:rPr>
                <w:rFonts w:hint="default" w:ascii="Times New Roman" w:hAnsi="Times New Roman" w:cs="Times New Roman"/>
                <w:sz w:val="20"/>
                <w:szCs w:val="20"/>
              </w:rPr>
              <w:t xml:space="preserve"> Timing Advance Command MAC CE</w:t>
            </w:r>
            <w:r>
              <w:rPr>
                <w:rFonts w:hint="default" w:ascii="Times New Roman" w:hAnsi="Times New Roman" w:cs="Times New Roman"/>
                <w:sz w:val="20"/>
                <w:szCs w:val="20"/>
                <w:lang w:eastAsia="zh-CN"/>
              </w:rPr>
              <w:t xml:space="preserve"> is received for </w:t>
            </w:r>
            <w:r>
              <w:rPr>
                <w:rFonts w:hint="default" w:ascii="Times New Roman" w:hAnsi="Times New Roman" w:cs="Times New Roman"/>
                <w:i/>
                <w:sz w:val="20"/>
                <w:szCs w:val="20"/>
                <w:lang w:eastAsia="zh-CN"/>
              </w:rPr>
              <w:t>inactivePosSRS-TimeAlignmentTimer</w:t>
            </w:r>
            <w:r>
              <w:rPr>
                <w:rFonts w:hint="default" w:ascii="Times New Roman" w:hAnsi="Times New Roman" w:cs="Times New Roman"/>
                <w:sz w:val="20"/>
                <w:szCs w:val="20"/>
                <w:lang w:eastAsia="zh-CN"/>
              </w:rPr>
              <w:t xml:space="preserve"> as in clause 5.2, or;</w:t>
            </w:r>
          </w:p>
          <w:p>
            <w:pPr>
              <w:pStyle w:val="79"/>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2&gt;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if Timing Advance Command or Absolute Timing Advance Command is received for Random Access procedure that is successfully completed:</w:t>
            </w:r>
          </w:p>
          <w:p>
            <w:pPr>
              <w:pStyle w:val="80"/>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等线" w:cs="Times New Roman"/>
                <w:sz w:val="20"/>
                <w:szCs w:val="20"/>
                <w:lang w:eastAsia="zh-CN"/>
              </w:rPr>
            </w:pPr>
            <w:r>
              <w:rPr>
                <w:rFonts w:hint="default" w:ascii="Times New Roman" w:hAnsi="Times New Roman" w:cs="Times New Roman"/>
                <w:sz w:val="20"/>
                <w:szCs w:val="20"/>
                <w:lang w:eastAsia="zh-CN"/>
              </w:rPr>
              <w:t>3&gt;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update the stored downlink pathloss reference with the current RSRP value of the downlink pathloss reference.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The MAC entity shall consider the TA to be valid when the following condition is fulfilled:</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1&gt;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sz w:val="20"/>
                <w:szCs w:val="20"/>
                <w:lang w:eastAsia="zh-CN"/>
              </w:rPr>
              <w:t>compared to the stored downlink pathloss reference RSRP value, the current RSRP value of the downlink pathloss reference has not increased/decreased by more than</w:t>
            </w:r>
            <w:r>
              <w:rPr>
                <w:rFonts w:hint="default" w:ascii="Times New Roman" w:hAnsi="Times New Roman" w:eastAsia="等线" w:cs="Times New Roman"/>
                <w:iCs/>
                <w:sz w:val="20"/>
                <w:szCs w:val="20"/>
                <w:lang w:eastAsia="zh-CN"/>
              </w:rPr>
              <w:t xml:space="preserve"> </w:t>
            </w:r>
            <w:r>
              <w:rPr>
                <w:rFonts w:hint="default" w:ascii="Times New Roman" w:hAnsi="Times New Roman" w:cs="Times New Roman"/>
                <w:i/>
                <w:sz w:val="20"/>
                <w:szCs w:val="20"/>
                <w:lang w:eastAsia="zh-CN"/>
              </w:rPr>
              <w:t>inactivePosSRS</w:t>
            </w:r>
            <w:r>
              <w:rPr>
                <w:rFonts w:hint="default" w:ascii="Times New Roman" w:hAnsi="Times New Roman" w:eastAsia="等线" w:cs="Times New Roman"/>
                <w:i/>
                <w:sz w:val="20"/>
                <w:szCs w:val="20"/>
                <w:lang w:eastAsia="zh-CN"/>
              </w:rPr>
              <w:t>-RSRP-ChangeThreshold</w:t>
            </w:r>
            <w:r>
              <w:rPr>
                <w:rFonts w:hint="default" w:ascii="Times New Roman" w:hAnsi="Times New Roman" w:eastAsia="等线" w:cs="Times New Roman"/>
                <w:sz w:val="20"/>
                <w:szCs w:val="20"/>
                <w:lang w:eastAsia="zh-CN"/>
              </w:rPr>
              <w:t>, if configured; and</w:t>
            </w:r>
          </w:p>
          <w:p>
            <w:pPr>
              <w:pStyle w:val="84"/>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highlight w:val="yellow"/>
                <w:lang w:val="en-US" w:eastAsia="ko-KR"/>
              </w:rPr>
            </w:pPr>
            <w:r>
              <w:rPr>
                <w:rFonts w:hint="default" w:ascii="Times New Roman" w:hAnsi="Times New Roman" w:eastAsia="等线" w:cs="Times New Roman"/>
                <w:sz w:val="20"/>
                <w:szCs w:val="20"/>
                <w:lang w:eastAsia="zh-CN"/>
              </w:rPr>
              <w:t>1&gt;</w:t>
            </w:r>
            <w:r>
              <w:rPr>
                <w:rFonts w:hint="default" w:ascii="Times New Roman" w:hAnsi="Times New Roman" w:eastAsia="等线" w:cs="Times New Roman"/>
                <w:sz w:val="20"/>
                <w:szCs w:val="20"/>
                <w:lang w:eastAsia="zh-CN"/>
              </w:rPr>
              <w:tab/>
            </w:r>
            <w:r>
              <w:rPr>
                <w:rFonts w:hint="default" w:ascii="Times New Roman" w:hAnsi="Times New Roman" w:eastAsia="等线" w:cs="Times New Roman"/>
                <w:i/>
                <w:iCs/>
                <w:sz w:val="20"/>
                <w:szCs w:val="20"/>
                <w:lang w:eastAsia="zh-CN"/>
              </w:rPr>
              <w:t>inactivePosSRS-TimeAlignmentTimer</w:t>
            </w:r>
            <w:r>
              <w:rPr>
                <w:rFonts w:hint="default" w:ascii="Times New Roman" w:hAnsi="Times New Roman" w:eastAsia="等线" w:cs="Times New Roman"/>
                <w:sz w:val="20"/>
                <w:szCs w:val="20"/>
                <w:lang w:eastAsia="zh-CN"/>
              </w:rPr>
              <w:t xml:space="preserve"> is running.</w:t>
            </w:r>
            <w:bookmarkEnd w:id="13"/>
          </w:p>
        </w:tc>
      </w:tr>
    </w:tbl>
    <w:p>
      <w:pPr>
        <w:keepNext w:val="0"/>
        <w:keepLines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 xml:space="preserve">As described above, TA would be invalid when the volatility of pathloss reference RSRP is greater than the configured </w:t>
      </w:r>
      <w:r>
        <w:rPr>
          <w:rFonts w:hint="default" w:ascii="Times New Roman" w:hAnsi="Times New Roman" w:cs="Times New Roman"/>
          <w:i/>
          <w:sz w:val="20"/>
          <w:szCs w:val="20"/>
        </w:rPr>
        <w:t>inactivePosSRS-RSRP-ChangeThreshold</w:t>
      </w:r>
      <w:r>
        <w:rPr>
          <w:rFonts w:hint="default" w:ascii="Times New Roman" w:hAnsi="Times New Roman" w:cs="Times New Roman"/>
          <w:sz w:val="20"/>
          <w:szCs w:val="20"/>
        </w:rPr>
        <w:t xml:space="preserve">. And the pathloss reference RSRP may change rapidly when UE moves, especially when UE camps on a new cell. Moreover, the pathloss reference configuration is also invalid when UE camps on a new cell (the detailed discussion is described in </w:t>
      </w:r>
      <w:r>
        <w:rPr>
          <w:rFonts w:hint="default" w:ascii="Times New Roman" w:hAnsi="Times New Roman" w:cs="Times New Roman"/>
          <w:sz w:val="20"/>
          <w:szCs w:val="20"/>
          <w:lang w:val="en-US" w:eastAsia="zh-CN"/>
        </w:rPr>
        <w:t>2.1.2</w:t>
      </w:r>
      <w:r>
        <w:rPr>
          <w:rFonts w:hint="default" w:ascii="Times New Roman" w:hAnsi="Times New Roman" w:cs="Times New Roman"/>
          <w:sz w:val="20"/>
          <w:szCs w:val="20"/>
        </w:rPr>
        <w:t>). In current Rel-17 specification, UE may stop transmitting SRS if the TA valid criterion is not satisfied (</w:t>
      </w:r>
      <w:r>
        <w:rPr>
          <w:rFonts w:hint="default" w:ascii="Times New Roman" w:hAnsi="Times New Roman" w:cs="Times New Roman"/>
          <w:i/>
          <w:sz w:val="20"/>
          <w:szCs w:val="20"/>
        </w:rPr>
        <w:t>inactivePosSRS-TimeAlignmentTimer</w:t>
      </w:r>
      <w:r>
        <w:rPr>
          <w:rFonts w:hint="default" w:ascii="Times New Roman" w:hAnsi="Times New Roman" w:cs="Times New Roman"/>
          <w:sz w:val="20"/>
          <w:szCs w:val="20"/>
        </w:rPr>
        <w:t xml:space="preserve"> is expired or the RSRP difference of the RS beyond </w:t>
      </w:r>
      <w:r>
        <w:rPr>
          <w:rFonts w:hint="default" w:ascii="Times New Roman" w:hAnsi="Times New Roman" w:cs="Times New Roman"/>
          <w:i/>
          <w:sz w:val="20"/>
          <w:szCs w:val="20"/>
        </w:rPr>
        <w:t>inactivePosSRS-RSRP-ChangeThreshold</w:t>
      </w:r>
      <w:r>
        <w:rPr>
          <w:rFonts w:hint="default" w:ascii="Times New Roman" w:hAnsi="Times New Roman" w:cs="Times New Roman"/>
          <w:sz w:val="20"/>
          <w:szCs w:val="20"/>
        </w:rPr>
        <w:t xml:space="preserve">). Therefore, the TA valid criterion could be different across multiple cells for UE in RRC_INACTIVE state in Rel-18. </w:t>
      </w:r>
      <w:r>
        <w:rPr>
          <w:rFonts w:hint="default" w:ascii="Times New Roman" w:hAnsi="Times New Roman" w:cs="Times New Roman"/>
          <w:sz w:val="20"/>
          <w:szCs w:val="20"/>
          <w:lang w:val="en-US" w:eastAsia="zh-CN"/>
        </w:rPr>
        <w:t xml:space="preserve">Based on proposal 1, we have the following </w:t>
      </w:r>
      <w:r>
        <w:rPr>
          <w:rFonts w:hint="default" w:ascii="Times New Roman" w:hAnsi="Times New Roman" w:cs="Times New Roman"/>
          <w:i/>
          <w:sz w:val="20"/>
          <w:szCs w:val="20"/>
        </w:rPr>
        <w:t>inactivePosSRS-TimeAlignmentTimer</w:t>
      </w:r>
      <w:r>
        <w:rPr>
          <w:rFonts w:hint="default" w:ascii="Times New Roman" w:hAnsi="Times New Roman" w:cs="Times New Roman"/>
          <w:sz w:val="20"/>
          <w:szCs w:val="20"/>
        </w:rPr>
        <w:t xml:space="preserve"> and </w:t>
      </w:r>
      <w:r>
        <w:rPr>
          <w:rFonts w:hint="default" w:ascii="Times New Roman" w:hAnsi="Times New Roman" w:cs="Times New Roman"/>
          <w:i/>
          <w:sz w:val="20"/>
          <w:szCs w:val="20"/>
        </w:rPr>
        <w:t>inactivePosSRS-RSRP-ChangeThreshold</w:t>
      </w:r>
      <w:r>
        <w:rPr>
          <w:rFonts w:hint="default" w:ascii="Times New Roman" w:hAnsi="Times New Roman" w:cs="Times New Roman"/>
          <w:sz w:val="20"/>
          <w:szCs w:val="20"/>
        </w:rPr>
        <w:t xml:space="preserve"> </w:t>
      </w:r>
      <w:r>
        <w:rPr>
          <w:rFonts w:hint="default" w:ascii="Times New Roman" w:hAnsi="Times New Roman" w:cs="Times New Roman"/>
          <w:sz w:val="20"/>
          <w:szCs w:val="20"/>
          <w:lang w:val="en-US" w:eastAsia="zh-CN"/>
        </w:rPr>
        <w:t>configure consideration:</w:t>
      </w:r>
    </w:p>
    <w:p>
      <w:pPr>
        <w:keepNext w:val="0"/>
        <w:keepLines w:val="0"/>
        <w:pageBreakBefore w:val="0"/>
        <w:widowControl/>
        <w:numPr>
          <w:ilvl w:val="0"/>
          <w:numId w:val="8"/>
        </w:numPr>
        <w:kinsoku/>
        <w:wordWrap/>
        <w:overflowPunct/>
        <w:topLinePunct w:val="0"/>
        <w:autoSpaceDE/>
        <w:autoSpaceDN/>
        <w:bidi w:val="0"/>
        <w:adjustRightInd w:val="0"/>
        <w:snapToGrid w:val="0"/>
        <w:spacing w:before="180" w:beforeLines="50" w:after="180" w:afterLines="50" w:line="240" w:lineRule="auto"/>
        <w:ind w:left="420" w:leftChars="0" w:hanging="420" w:firstLineChars="0"/>
        <w:jc w:val="both"/>
        <w:textAlignment w:val="auto"/>
        <w:rPr>
          <w:rFonts w:hint="default" w:ascii="Times New Roman" w:hAnsi="Times New Roman" w:cs="Times New Roman"/>
          <w:sz w:val="20"/>
          <w:szCs w:val="20"/>
        </w:rPr>
      </w:pPr>
      <w:r>
        <w:rPr>
          <w:rFonts w:hint="default" w:ascii="Times New Roman" w:hAnsi="Times New Roman" w:cs="Times New Roman"/>
          <w:kern w:val="2"/>
          <w:sz w:val="20"/>
          <w:szCs w:val="20"/>
          <w:lang w:val="en-US" w:eastAsia="zh-CN"/>
        </w:rPr>
        <w:t>Our previous discussion shows that UE may update its TA based on the movement or gNB coordinat</w:t>
      </w:r>
      <w:r>
        <w:rPr>
          <w:rFonts w:hint="eastAsia" w:ascii="Times New Roman" w:hAnsi="Times New Roman" w:cs="Times New Roman"/>
          <w:kern w:val="2"/>
          <w:sz w:val="20"/>
          <w:szCs w:val="20"/>
          <w:lang w:val="en-US" w:eastAsia="zh-CN"/>
        </w:rPr>
        <w:t>e</w:t>
      </w:r>
      <w:r>
        <w:rPr>
          <w:rFonts w:hint="default" w:ascii="Times New Roman" w:hAnsi="Times New Roman" w:cs="Times New Roman"/>
          <w:kern w:val="2"/>
          <w:sz w:val="20"/>
          <w:szCs w:val="20"/>
          <w:lang w:val="en-US" w:eastAsia="zh-CN"/>
        </w:rPr>
        <w:t xml:space="preserve"> and synchronization or UE reuses the TA across multiple cells (option 1 and option 2), in these two options, the updated/old TA is feasible for UE to transmit SRS, UE can transmit SRS as long as UE still within the current </w:t>
      </w:r>
      <w:r>
        <w:rPr>
          <w:rFonts w:hint="eastAsia" w:ascii="Times New Roman" w:hAnsi="Times New Roman" w:cs="Times New Roman"/>
          <w:kern w:val="2"/>
          <w:sz w:val="20"/>
          <w:szCs w:val="20"/>
          <w:lang w:val="en-US" w:eastAsia="zh-CN"/>
        </w:rPr>
        <w:t xml:space="preserve">SRS configuration </w:t>
      </w:r>
      <w:r>
        <w:rPr>
          <w:rFonts w:hint="default" w:ascii="Times New Roman" w:hAnsi="Times New Roman" w:cs="Times New Roman"/>
          <w:kern w:val="2"/>
          <w:sz w:val="20"/>
          <w:szCs w:val="20"/>
          <w:lang w:val="en-US" w:eastAsia="zh-CN"/>
        </w:rPr>
        <w:t xml:space="preserve">validity area. Therefore, the new </w:t>
      </w:r>
      <w:r>
        <w:rPr>
          <w:rFonts w:hint="default" w:ascii="Times New Roman" w:hAnsi="Times New Roman" w:cs="Times New Roman"/>
          <w:i/>
          <w:iCs/>
          <w:kern w:val="2"/>
          <w:sz w:val="20"/>
          <w:szCs w:val="20"/>
          <w:lang w:val="en-US" w:eastAsia="zh-CN"/>
        </w:rPr>
        <w:t xml:space="preserve">inactivePosSRS-TimeAlignmentTimer </w:t>
      </w:r>
      <w:r>
        <w:rPr>
          <w:rFonts w:hint="default" w:ascii="Times New Roman" w:hAnsi="Times New Roman" w:cs="Times New Roman"/>
          <w:kern w:val="2"/>
          <w:sz w:val="20"/>
          <w:szCs w:val="20"/>
          <w:lang w:val="en-US" w:eastAsia="zh-CN"/>
        </w:rPr>
        <w:t xml:space="preserve">and </w:t>
      </w:r>
      <w:r>
        <w:rPr>
          <w:rFonts w:hint="default" w:ascii="Times New Roman" w:hAnsi="Times New Roman" w:cs="Times New Roman"/>
          <w:i/>
          <w:iCs/>
          <w:kern w:val="2"/>
          <w:sz w:val="20"/>
          <w:szCs w:val="20"/>
          <w:lang w:val="en-US" w:eastAsia="zh-CN"/>
        </w:rPr>
        <w:t>inactivePosSRS-RSRP-ChangeThreshold</w:t>
      </w:r>
      <w:r>
        <w:rPr>
          <w:rFonts w:hint="default" w:ascii="Times New Roman" w:hAnsi="Times New Roman" w:cs="Times New Roman"/>
          <w:kern w:val="2"/>
          <w:sz w:val="20"/>
          <w:szCs w:val="20"/>
          <w:lang w:val="en-US" w:eastAsia="zh-CN"/>
        </w:rPr>
        <w:t xml:space="preserve"> can be c</w:t>
      </w:r>
      <w:r>
        <w:rPr>
          <w:rFonts w:hint="default" w:ascii="Times New Roman" w:hAnsi="Times New Roman" w:cs="Times New Roman"/>
          <w:sz w:val="20"/>
          <w:szCs w:val="20"/>
        </w:rPr>
        <w:t xml:space="preserve">onfigured with larger value to make sure that UE can transmit SRS with </w:t>
      </w:r>
      <w:r>
        <w:rPr>
          <w:rFonts w:hint="eastAsia" w:ascii="Times New Roman" w:hAnsi="Times New Roman" w:cs="Times New Roman"/>
          <w:sz w:val="20"/>
          <w:szCs w:val="20"/>
          <w:lang w:val="en-US" w:eastAsia="zh-CN"/>
        </w:rPr>
        <w:t xml:space="preserve">the </w:t>
      </w:r>
      <w:r>
        <w:rPr>
          <w:rFonts w:hint="default" w:ascii="Times New Roman" w:hAnsi="Times New Roman" w:cs="Times New Roman"/>
          <w:sz w:val="20"/>
          <w:szCs w:val="20"/>
        </w:rPr>
        <w:t>estimated TA throughout the</w:t>
      </w:r>
      <w:r>
        <w:rPr>
          <w:rFonts w:hint="eastAsia" w:ascii="Times New Roman" w:hAnsi="Times New Roman" w:cs="Times New Roman"/>
          <w:sz w:val="20"/>
          <w:szCs w:val="20"/>
          <w:lang w:val="en-US" w:eastAsia="zh-CN"/>
        </w:rPr>
        <w:t xml:space="preserve"> whole</w:t>
      </w:r>
      <w:r>
        <w:rPr>
          <w:rFonts w:hint="default" w:ascii="Times New Roman" w:hAnsi="Times New Roman" w:cs="Times New Roman"/>
          <w:sz w:val="20"/>
          <w:szCs w:val="20"/>
        </w:rPr>
        <w:t xml:space="preserve"> validity area</w:t>
      </w:r>
      <w:r>
        <w:rPr>
          <w:rFonts w:hint="default" w:ascii="Times New Roman" w:hAnsi="Times New Roman" w:cs="Times New Roman"/>
          <w:sz w:val="20"/>
          <w:szCs w:val="20"/>
          <w:lang w:val="en-US" w:eastAsia="zh-CN"/>
        </w:rPr>
        <w:t xml:space="preserve">, i.e., a single </w:t>
      </w:r>
      <w:r>
        <w:rPr>
          <w:rFonts w:hint="default" w:ascii="Times New Roman" w:hAnsi="Times New Roman" w:cs="Times New Roman"/>
          <w:i/>
          <w:iCs/>
          <w:kern w:val="2"/>
          <w:sz w:val="20"/>
          <w:szCs w:val="20"/>
          <w:lang w:val="en-US" w:eastAsia="zh-CN"/>
        </w:rPr>
        <w:t xml:space="preserve">inactivePosSRS-TimeAlignmentTimer </w:t>
      </w:r>
      <w:r>
        <w:rPr>
          <w:rFonts w:hint="default" w:ascii="Times New Roman" w:hAnsi="Times New Roman" w:cs="Times New Roman"/>
          <w:kern w:val="2"/>
          <w:sz w:val="20"/>
          <w:szCs w:val="20"/>
          <w:lang w:val="en-US" w:eastAsia="zh-CN"/>
        </w:rPr>
        <w:t xml:space="preserve">and </w:t>
      </w:r>
      <w:r>
        <w:rPr>
          <w:rFonts w:hint="default" w:ascii="Times New Roman" w:hAnsi="Times New Roman" w:cs="Times New Roman"/>
          <w:i/>
          <w:iCs/>
          <w:kern w:val="2"/>
          <w:sz w:val="20"/>
          <w:szCs w:val="20"/>
          <w:lang w:val="en-US" w:eastAsia="zh-CN"/>
        </w:rPr>
        <w:t>inactivePosSRS-RSRP-ChangeThreshold</w:t>
      </w:r>
      <w:r>
        <w:rPr>
          <w:rFonts w:hint="default" w:ascii="Times New Roman" w:hAnsi="Times New Roman" w:cs="Times New Roman"/>
          <w:sz w:val="20"/>
          <w:szCs w:val="20"/>
          <w:lang w:val="en-US" w:eastAsia="zh-CN"/>
        </w:rPr>
        <w:t xml:space="preserve"> is configured to be valid across the multiple cells within the validity area. And the TimeAlignmentTimer can keep running when UE camps on a new cell.</w:t>
      </w:r>
    </w:p>
    <w:p>
      <w:pPr>
        <w:keepNext w:val="0"/>
        <w:keepLines w:val="0"/>
        <w:pageBreakBefore w:val="0"/>
        <w:widowControl/>
        <w:numPr>
          <w:ilvl w:val="0"/>
          <w:numId w:val="8"/>
        </w:numPr>
        <w:kinsoku/>
        <w:wordWrap/>
        <w:overflowPunct/>
        <w:topLinePunct w:val="0"/>
        <w:autoSpaceDE/>
        <w:autoSpaceDN/>
        <w:bidi w:val="0"/>
        <w:adjustRightInd w:val="0"/>
        <w:snapToGrid w:val="0"/>
        <w:spacing w:before="180" w:beforeLines="50" w:after="180" w:afterLines="50" w:line="240" w:lineRule="auto"/>
        <w:ind w:left="420" w:leftChars="0" w:hanging="420" w:firstLineChars="0"/>
        <w:jc w:val="both"/>
        <w:textAlignment w:val="auto"/>
        <w:rPr>
          <w:rFonts w:hint="default" w:ascii="Times New Roman" w:hAnsi="Times New Roman" w:cs="Times New Roman"/>
          <w:sz w:val="20"/>
          <w:szCs w:val="20"/>
        </w:rPr>
      </w:pPr>
      <w:r>
        <w:rPr>
          <w:rFonts w:hint="default" w:ascii="Times New Roman" w:hAnsi="Times New Roman" w:cs="Times New Roman"/>
          <w:sz w:val="20"/>
          <w:szCs w:val="20"/>
          <w:lang w:val="en-US" w:eastAsia="zh-CN"/>
        </w:rPr>
        <w:t xml:space="preserve">For TA update option 3, (i.e., gNB configure new TA when UE camps on a new cell), </w:t>
      </w:r>
      <w:r>
        <w:rPr>
          <w:rFonts w:hint="eastAsia" w:ascii="Times New Roman" w:hAnsi="Times New Roman" w:cs="Times New Roman"/>
          <w:sz w:val="20"/>
          <w:szCs w:val="20"/>
          <w:lang w:val="en-US" w:eastAsia="zh-CN"/>
        </w:rPr>
        <w:t>i</w:t>
      </w:r>
      <w:r>
        <w:rPr>
          <w:rFonts w:hint="default" w:ascii="Times New Roman" w:hAnsi="Times New Roman" w:cs="Times New Roman"/>
          <w:sz w:val="20"/>
          <w:szCs w:val="20"/>
          <w:lang w:val="en-US" w:eastAsia="zh-CN"/>
        </w:rPr>
        <w:t>f gNB transmits RAR or MAC CE to update TA when UE camps on a new cell, UE can restart the corresponding TimeAlignmentTimer and update the stored RSRP</w:t>
      </w:r>
      <w:r>
        <w:rPr>
          <w:rFonts w:hint="default" w:ascii="Times New Roman" w:hAnsi="Times New Roman" w:cs="Times New Roman"/>
          <w:sz w:val="20"/>
          <w:szCs w:val="20"/>
          <w:lang w:eastAsia="zh-CN"/>
        </w:rPr>
        <w:t xml:space="preserve"> of the downlink pathloss reference</w:t>
      </w:r>
      <w:r>
        <w:rPr>
          <w:rFonts w:hint="default" w:ascii="Times New Roman" w:hAnsi="Times New Roman" w:cs="Times New Roman"/>
          <w:sz w:val="20"/>
          <w:szCs w:val="20"/>
          <w:lang w:val="en-US" w:eastAsia="zh-CN"/>
        </w:rPr>
        <w:t xml:space="preserve">. In this option, </w:t>
      </w:r>
      <w:r>
        <w:rPr>
          <w:rFonts w:hint="default" w:ascii="Times New Roman" w:hAnsi="Times New Roman" w:cs="Times New Roman"/>
          <w:i/>
          <w:iCs/>
          <w:kern w:val="2"/>
          <w:sz w:val="20"/>
          <w:szCs w:val="20"/>
          <w:lang w:val="en-US" w:eastAsia="zh-CN"/>
        </w:rPr>
        <w:t xml:space="preserve">inactivePosSRS-TimeAlignmentTimer </w:t>
      </w:r>
      <w:r>
        <w:rPr>
          <w:rFonts w:hint="default" w:ascii="Times New Roman" w:hAnsi="Times New Roman" w:cs="Times New Roman"/>
          <w:kern w:val="2"/>
          <w:sz w:val="20"/>
          <w:szCs w:val="20"/>
          <w:lang w:val="en-US" w:eastAsia="zh-CN"/>
        </w:rPr>
        <w:t xml:space="preserve">and </w:t>
      </w:r>
      <w:r>
        <w:rPr>
          <w:rFonts w:hint="default" w:ascii="Times New Roman" w:hAnsi="Times New Roman" w:cs="Times New Roman"/>
          <w:i/>
          <w:iCs/>
          <w:kern w:val="2"/>
          <w:sz w:val="20"/>
          <w:szCs w:val="20"/>
          <w:lang w:val="en-US" w:eastAsia="zh-CN"/>
        </w:rPr>
        <w:t xml:space="preserve">inactivePosSRS-RSRP-ChangeThreshold </w:t>
      </w:r>
      <w:r>
        <w:rPr>
          <w:rFonts w:hint="default" w:ascii="Times New Roman" w:hAnsi="Times New Roman" w:cs="Times New Roman"/>
          <w:i w:val="0"/>
          <w:iCs w:val="0"/>
          <w:kern w:val="2"/>
          <w:sz w:val="20"/>
          <w:szCs w:val="20"/>
          <w:lang w:val="en-US" w:eastAsia="zh-CN"/>
        </w:rPr>
        <w:t>configured for validity area can also be adopted.</w:t>
      </w:r>
    </w:p>
    <w:p>
      <w:pPr>
        <w:keepNext w:val="0"/>
        <w:keepLines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Therefore, we have the following proposal:</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i/>
          <w:iCs/>
          <w:sz w:val="20"/>
          <w:szCs w:val="20"/>
          <w:lang w:val="en-US" w:eastAsia="zh-CN"/>
        </w:rPr>
      </w:pPr>
      <w:bookmarkStart w:id="14" w:name="_Ref21717"/>
      <w:r>
        <w:rPr>
          <w:rFonts w:hint="default" w:ascii="Times New Roman" w:hAnsi="Times New Roman" w:cs="Times New Roman"/>
          <w:b/>
          <w:bCs/>
          <w:i/>
          <w:iCs/>
          <w:sz w:val="20"/>
          <w:szCs w:val="20"/>
        </w:rPr>
        <w:t xml:space="preserve">Proposal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Proposal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2</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For power saving purpose, support the following SRS transmission enhancement in RRC_INACTIVE to stop UE being restricted by TA valid criterion when transmitting SRS:</w:t>
      </w:r>
      <w:bookmarkEnd w:id="14"/>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Configure</w:t>
      </w:r>
      <w:r>
        <w:rPr>
          <w:rFonts w:hint="default" w:ascii="Times New Roman" w:hAnsi="Times New Roman" w:cs="Times New Roman" w:eastAsiaTheme="minorEastAsia"/>
          <w:b/>
          <w:bCs/>
          <w:i/>
          <w:iCs/>
          <w:sz w:val="20"/>
          <w:szCs w:val="20"/>
          <w:lang w:val="en-US" w:eastAsia="zh-CN" w:bidi="ar-SA"/>
        </w:rPr>
        <w:t xml:space="preserve"> a single inactivePosSRS-TimeAlignmentTimer for UE</w:t>
      </w:r>
      <w:r>
        <w:rPr>
          <w:rFonts w:hint="eastAsia" w:ascii="Times New Roman" w:hAnsi="Times New Roman" w:cs="Times New Roman"/>
          <w:b/>
          <w:bCs/>
          <w:i/>
          <w:iCs/>
          <w:sz w:val="20"/>
          <w:szCs w:val="20"/>
          <w:lang w:val="en-US" w:eastAsia="zh-CN" w:bidi="ar-SA"/>
        </w:rPr>
        <w:t xml:space="preserve"> in multiple cells</w:t>
      </w:r>
      <w:r>
        <w:rPr>
          <w:rFonts w:hint="default" w:ascii="Times New Roman" w:hAnsi="Times New Roman" w:cs="Times New Roman" w:eastAsiaTheme="minorEastAsia"/>
          <w:b/>
          <w:bCs/>
          <w:i/>
          <w:iCs/>
          <w:sz w:val="20"/>
          <w:szCs w:val="20"/>
          <w:lang w:val="en-US" w:eastAsia="zh-CN" w:bidi="ar-SA"/>
        </w:rPr>
        <w:t xml:space="preserve"> within the </w:t>
      </w:r>
      <w:r>
        <w:rPr>
          <w:rFonts w:hint="default" w:ascii="Times New Roman" w:hAnsi="Times New Roman" w:cs="Times New Roman"/>
          <w:b/>
          <w:bCs/>
          <w:i/>
          <w:iCs/>
          <w:sz w:val="20"/>
          <w:szCs w:val="20"/>
          <w:lang w:val="en-US" w:eastAsia="zh-CN" w:bidi="ar-SA"/>
        </w:rPr>
        <w:t xml:space="preserve">SRS configuration </w:t>
      </w:r>
      <w:r>
        <w:rPr>
          <w:rFonts w:hint="default" w:ascii="Times New Roman" w:hAnsi="Times New Roman" w:cs="Times New Roman" w:eastAsiaTheme="minorEastAsia"/>
          <w:b/>
          <w:bCs/>
          <w:i/>
          <w:iCs/>
          <w:sz w:val="20"/>
          <w:szCs w:val="20"/>
          <w:lang w:val="en-US" w:eastAsia="zh-CN" w:bidi="ar-SA"/>
        </w:rPr>
        <w:t>validity area.</w:t>
      </w:r>
    </w:p>
    <w:p>
      <w:pPr>
        <w:keepNext w:val="0"/>
        <w:keepLines w:val="0"/>
        <w:pageBreakBefore w:val="0"/>
        <w:widowControl/>
        <w:numPr>
          <w:ilvl w:val="1"/>
          <w:numId w:val="8"/>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 xml:space="preserve">the </w:t>
      </w:r>
      <w:r>
        <w:rPr>
          <w:rFonts w:hint="default" w:ascii="Times New Roman" w:hAnsi="Times New Roman" w:cs="Times New Roman" w:eastAsiaTheme="minorEastAsia"/>
          <w:b/>
          <w:bCs/>
          <w:i/>
          <w:iCs/>
          <w:sz w:val="20"/>
          <w:szCs w:val="20"/>
          <w:lang w:val="en-US" w:eastAsia="zh-CN" w:bidi="ar-SA"/>
        </w:rPr>
        <w:t>TimeAlignmentTimer</w:t>
      </w:r>
      <w:r>
        <w:rPr>
          <w:rFonts w:hint="default" w:ascii="Times New Roman" w:hAnsi="Times New Roman" w:cs="Times New Roman"/>
          <w:b/>
          <w:bCs/>
          <w:i/>
          <w:iCs/>
          <w:sz w:val="20"/>
          <w:szCs w:val="20"/>
          <w:lang w:val="en-US" w:eastAsia="zh-CN"/>
        </w:rPr>
        <w:t xml:space="preserve"> could keep running when cell reselection happens if UE reuses the TA configured by the last serving gNB or update TA based on UE implementation.</w:t>
      </w:r>
    </w:p>
    <w:p>
      <w:pPr>
        <w:keepNext w:val="0"/>
        <w:keepLines w:val="0"/>
        <w:pageBreakBefore w:val="0"/>
        <w:widowControl/>
        <w:numPr>
          <w:ilvl w:val="1"/>
          <w:numId w:val="8"/>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 xml:space="preserve">the </w:t>
      </w:r>
      <w:r>
        <w:rPr>
          <w:rFonts w:hint="default" w:ascii="Times New Roman" w:hAnsi="Times New Roman" w:cs="Times New Roman" w:eastAsiaTheme="minorEastAsia"/>
          <w:b/>
          <w:bCs/>
          <w:i/>
          <w:iCs/>
          <w:sz w:val="20"/>
          <w:szCs w:val="20"/>
          <w:lang w:val="en-US" w:eastAsia="zh-CN" w:bidi="ar-SA"/>
        </w:rPr>
        <w:t>TimeAlignmentTimer</w:t>
      </w:r>
      <w:r>
        <w:rPr>
          <w:rFonts w:hint="default" w:ascii="Times New Roman" w:hAnsi="Times New Roman" w:cs="Times New Roman"/>
          <w:b/>
          <w:bCs/>
          <w:i/>
          <w:iCs/>
          <w:sz w:val="20"/>
          <w:szCs w:val="20"/>
          <w:lang w:val="en-US" w:eastAsia="zh-CN" w:bidi="ar-SA"/>
        </w:rPr>
        <w:t xml:space="preserve"> could be restarted when UE receives </w:t>
      </w:r>
      <w:r>
        <w:rPr>
          <w:rFonts w:hint="default" w:ascii="Times New Roman" w:hAnsi="Times New Roman" w:cs="Times New Roman"/>
          <w:b/>
          <w:bCs/>
          <w:i/>
          <w:iCs/>
          <w:sz w:val="20"/>
          <w:szCs w:val="20"/>
          <w:lang w:val="en-US" w:eastAsia="zh-CN"/>
        </w:rPr>
        <w:t>the TAC command from the camp-on cell.</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bidi="ar-SA"/>
        </w:rPr>
        <w:t>Configure a single i</w:t>
      </w:r>
      <w:r>
        <w:rPr>
          <w:rFonts w:hint="default" w:ascii="Times New Roman" w:hAnsi="Times New Roman" w:cs="Times New Roman" w:eastAsiaTheme="minorEastAsia"/>
          <w:b/>
          <w:bCs/>
          <w:i/>
          <w:iCs/>
          <w:sz w:val="20"/>
          <w:szCs w:val="20"/>
          <w:lang w:val="en-US" w:eastAsia="zh-CN" w:bidi="ar-SA"/>
        </w:rPr>
        <w:t xml:space="preserve">nactivePosSRS-RSRP-ChangeThreshold for UE </w:t>
      </w:r>
      <w:r>
        <w:rPr>
          <w:rFonts w:hint="eastAsia" w:ascii="Times New Roman" w:hAnsi="Times New Roman" w:cs="Times New Roman"/>
          <w:b/>
          <w:bCs/>
          <w:i/>
          <w:iCs/>
          <w:sz w:val="20"/>
          <w:szCs w:val="20"/>
          <w:lang w:val="en-US" w:eastAsia="zh-CN" w:bidi="ar-SA"/>
        </w:rPr>
        <w:t xml:space="preserve">in multiple cells </w:t>
      </w:r>
      <w:r>
        <w:rPr>
          <w:rFonts w:hint="default" w:ascii="Times New Roman" w:hAnsi="Times New Roman" w:cs="Times New Roman" w:eastAsiaTheme="minorEastAsia"/>
          <w:b/>
          <w:bCs/>
          <w:i/>
          <w:iCs/>
          <w:sz w:val="20"/>
          <w:szCs w:val="20"/>
          <w:lang w:val="en-US" w:eastAsia="zh-CN" w:bidi="ar-SA"/>
        </w:rPr>
        <w:t xml:space="preserve">within the </w:t>
      </w:r>
      <w:r>
        <w:rPr>
          <w:rFonts w:hint="default" w:ascii="Times New Roman" w:hAnsi="Times New Roman" w:cs="Times New Roman"/>
          <w:b/>
          <w:bCs/>
          <w:i/>
          <w:iCs/>
          <w:sz w:val="20"/>
          <w:szCs w:val="20"/>
          <w:lang w:val="en-US" w:eastAsia="zh-CN" w:bidi="ar-SA"/>
        </w:rPr>
        <w:t xml:space="preserve">SRS configuration </w:t>
      </w:r>
      <w:r>
        <w:rPr>
          <w:rFonts w:hint="default" w:ascii="Times New Roman" w:hAnsi="Times New Roman" w:cs="Times New Roman" w:eastAsiaTheme="minorEastAsia"/>
          <w:b/>
          <w:bCs/>
          <w:i/>
          <w:iCs/>
          <w:sz w:val="20"/>
          <w:szCs w:val="20"/>
          <w:lang w:val="en-US" w:eastAsia="zh-CN" w:bidi="ar-SA"/>
        </w:rPr>
        <w:t>validity area.</w:t>
      </w:r>
    </w:p>
    <w:p>
      <w:pPr>
        <w:pStyle w:val="4"/>
        <w:ind w:firstLine="241"/>
        <w:jc w:val="both"/>
        <w:rPr>
          <w:rFonts w:hint="default" w:ascii="Times New Roman" w:hAnsi="Times New Roman" w:cs="Times New Roman"/>
        </w:rPr>
      </w:pPr>
      <w:bookmarkStart w:id="15" w:name="_Ref32193"/>
      <w:r>
        <w:rPr>
          <w:rFonts w:hint="default" w:ascii="Times New Roman" w:hAnsi="Times New Roman" w:cs="Times New Roman"/>
        </w:rPr>
        <w:t>SRS transmission power control related configurations</w:t>
      </w:r>
      <w:bookmarkEnd w:id="15"/>
    </w:p>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In Rel-17, the positioning SRS transmission power is determined as follows: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a UE transmits SRS based on a configuration by SRS-PosResourceSet on active UL BWP </w:t>
            </w:r>
            <m:oMath>
              <m:r>
                <m:rPr>
                  <m:sty m:val="p"/>
                </m:rPr>
                <w:rPr>
                  <w:rFonts w:hint="default" w:ascii="Cambria Math" w:hAnsi="Cambria Math" w:cs="Times New Roman"/>
                  <w:sz w:val="20"/>
                  <w:szCs w:val="20"/>
                  <w:lang w:eastAsia="ja-JP"/>
                </w:rPr>
                <m:t>b</m:t>
              </m:r>
            </m:oMath>
            <w:r>
              <w:rPr>
                <w:rFonts w:hint="default" w:ascii="Times New Roman" w:hAnsi="Times New Roman" w:cs="Times New Roman"/>
                <w:sz w:val="20"/>
                <w:szCs w:val="20"/>
              </w:rPr>
              <w:t xml:space="preserve"> of carrier </w:t>
            </w:r>
            <m:oMath>
              <m:r>
                <m:rPr>
                  <m:sty m:val="p"/>
                </m:rPr>
                <w:rPr>
                  <w:rFonts w:hint="default" w:ascii="Cambria Math" w:hAnsi="Cambria Math" w:cs="Times New Roman"/>
                  <w:sz w:val="20"/>
                  <w:szCs w:val="20"/>
                  <w:lang w:eastAsia="ja-JP"/>
                </w:rPr>
                <m:t>f</m:t>
              </m:r>
            </m:oMath>
            <w:r>
              <w:rPr>
                <w:rFonts w:hint="default" w:ascii="Times New Roman" w:hAnsi="Times New Roman" w:cs="Times New Roman"/>
                <w:sz w:val="20"/>
                <w:szCs w:val="20"/>
              </w:rPr>
              <w:t xml:space="preserve"> of serving cell </w:t>
            </w:r>
            <m:oMath>
              <m:r>
                <m:rPr>
                  <m:sty m:val="p"/>
                </m:rPr>
                <w:rPr>
                  <w:rFonts w:hint="default" w:ascii="Cambria Math" w:hAnsi="Cambria Math" w:cs="Times New Roman"/>
                  <w:sz w:val="20"/>
                  <w:szCs w:val="20"/>
                  <w:lang w:eastAsia="ja-JP"/>
                </w:rPr>
                <m:t>c</m:t>
              </m:r>
            </m:oMath>
            <w:r>
              <w:rPr>
                <w:rFonts w:hint="default" w:ascii="Times New Roman" w:hAnsi="Times New Roman" w:cs="Times New Roman"/>
                <w:sz w:val="20"/>
                <w:szCs w:val="20"/>
              </w:rPr>
              <w:t xml:space="preserve">, the UE determines the SRS transmission power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P</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SRS,b,f,c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r>
                    <m:rPr>
                      <m:sty m:val="p"/>
                    </m:rPr>
                    <w:rPr>
                      <w:rFonts w:hint="default" w:ascii="Cambria Math" w:hAnsi="Cambria Math" w:cs="Times New Roman"/>
                      <w:sz w:val="20"/>
                      <w:szCs w:val="20"/>
                      <w:lang w:eastAsia="ja-JP"/>
                    </w:rPr>
                    <m:t>i,</m:t>
                  </m:r>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s</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rPr>
              <w:t xml:space="preserve"> in SRS transmission occasion </w:t>
            </w:r>
            <m:oMath>
              <m:r>
                <m:rPr>
                  <m:sty m:val="p"/>
                </m:rPr>
                <w:rPr>
                  <w:rFonts w:hint="default" w:ascii="Cambria Math" w:hAnsi="Cambria Math" w:cs="Times New Roman"/>
                  <w:sz w:val="20"/>
                  <w:szCs w:val="20"/>
                </w:rPr>
                <m:t>i</m:t>
              </m:r>
            </m:oMath>
            <w:r>
              <w:rPr>
                <w:rFonts w:hint="default" w:ascii="Times New Roman" w:hAnsi="Times New Roman" w:cs="Times New Roman"/>
                <w:sz w:val="20"/>
                <w:szCs w:val="20"/>
              </w:rPr>
              <w:t xml:space="preserve"> as </w:t>
            </w:r>
          </w:p>
          <w:p>
            <w:pPr>
              <w:pStyle w:val="85"/>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4591050" cy="466725"/>
                  <wp:effectExtent l="0" t="0" r="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4591050" cy="466725"/>
                          </a:xfrm>
                          <a:prstGeom prst="rect">
                            <a:avLst/>
                          </a:prstGeom>
                          <a:noFill/>
                          <a:ln>
                            <a:noFill/>
                          </a:ln>
                        </pic:spPr>
                      </pic:pic>
                    </a:graphicData>
                  </a:graphic>
                </wp:inline>
              </w:drawing>
            </w:r>
            <w:r>
              <w:rPr>
                <w:rFonts w:hint="default" w:ascii="Times New Roman" w:hAnsi="Times New Roman" w:cs="Times New Roman"/>
                <w:sz w:val="20"/>
                <w:szCs w:val="20"/>
              </w:rPr>
              <w:t xml:space="preserve"> [dBm]</w:t>
            </w:r>
          </w:p>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where, </w:t>
            </w:r>
          </w:p>
          <w:p>
            <w:pPr>
              <w:pStyle w:val="84"/>
              <w:keepNext w:val="0"/>
              <w:pageBreakBefore w:val="0"/>
              <w:widowControl/>
              <w:kinsoku/>
              <w:wordWrap/>
              <w:overflowPunct/>
              <w:topLinePunct w:val="0"/>
              <w:autoSpaceDE/>
              <w:autoSpaceDN/>
              <w:bidi w:val="0"/>
              <w:adjustRightInd w:val="0"/>
              <w:snapToGrid w:val="0"/>
              <w:spacing w:before="180" w:beforeLines="50" w:after="180" w:afterLines="50" w:line="240" w:lineRule="auto"/>
              <w:ind w:left="630" w:hanging="346"/>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P</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O_SRS</m:t>
                  </m:r>
                  <m:r>
                    <m:rPr/>
                    <w:rPr>
                      <w:rFonts w:hint="default" w:ascii="Cambria Math" w:hAnsi="Cambria Math" w:cs="Times New Roman"/>
                      <w:sz w:val="20"/>
                      <w:szCs w:val="20"/>
                    </w:rPr>
                    <m:t>,b,f,c</m:t>
                  </m:r>
                  <m:ctrlPr>
                    <w:rPr>
                      <w:rFonts w:hint="default" w:ascii="Cambria Math" w:hAnsi="Cambria Math" w:cs="Times New Roman"/>
                      <w:i/>
                      <w:sz w:val="20"/>
                      <w:szCs w:val="20"/>
                    </w:rPr>
                  </m:ctrlPr>
                </m:sub>
              </m:sSub>
              <m:d>
                <m:dPr>
                  <m:ctrlPr>
                    <w:rPr>
                      <w:rFonts w:hint="default" w:ascii="Cambria Math" w:hAnsi="Cambria Math" w:eastAsia="MS Mincho" w:cs="Times New Roman"/>
                      <w:i/>
                      <w:sz w:val="20"/>
                      <w:szCs w:val="20"/>
                      <w:lang w:eastAsia="ja-JP"/>
                    </w:rPr>
                  </m:ctrlPr>
                </m:dPr>
                <m:e>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s</m:t>
                      </m:r>
                      <m:ctrlPr>
                        <w:rPr>
                          <w:rFonts w:hint="default" w:ascii="Cambria Math" w:hAnsi="Cambria Math" w:eastAsia="MS Mincho" w:cs="Times New Roman"/>
                          <w:i/>
                          <w:sz w:val="20"/>
                          <w:szCs w:val="20"/>
                          <w:lang w:eastAsia="ja-JP"/>
                        </w:rPr>
                      </m:ctrlPr>
                    </m:sub>
                  </m:sSub>
                  <m:ctrlPr>
                    <w:rPr>
                      <w:rFonts w:hint="default" w:ascii="Cambria Math" w:hAnsi="Cambria Math" w:eastAsia="MS Mincho" w:cs="Times New Roman"/>
                      <w:i/>
                      <w:sz w:val="20"/>
                      <w:szCs w:val="20"/>
                      <w:lang w:eastAsia="ja-JP"/>
                    </w:rPr>
                  </m:ctrlPr>
                </m:e>
              </m:d>
            </m:oMath>
            <w:r>
              <w:rPr>
                <w:rFonts w:hint="default" w:ascii="Times New Roman" w:hAnsi="Times New Roman" w:cs="Times New Roman"/>
                <w:sz w:val="20"/>
                <w:szCs w:val="20"/>
                <w:lang w:eastAsia="ja-JP"/>
              </w:rPr>
              <w:t xml:space="preserve"> and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α</m:t>
                  </m:r>
                  <m:ctrlPr>
                    <w:rPr>
                      <w:rFonts w:hint="default" w:ascii="Cambria Math" w:hAnsi="Cambria Math" w:cs="Times New Roman"/>
                      <w:i/>
                      <w:sz w:val="20"/>
                      <w:szCs w:val="20"/>
                    </w:rPr>
                  </m:ctrlPr>
                </m:e>
                <m:sub>
                  <m:r>
                    <m:rPr>
                      <m:sty m:val="p"/>
                    </m:rPr>
                    <w:rPr>
                      <w:rFonts w:hint="default" w:ascii="Cambria Math" w:hAnsi="Cambria Math" w:cs="Times New Roman"/>
                      <w:sz w:val="20"/>
                      <w:szCs w:val="20"/>
                    </w:rPr>
                    <m:t>SRS</m:t>
                  </m:r>
                  <m:r>
                    <m:rPr/>
                    <w:rPr>
                      <w:rFonts w:hint="default" w:ascii="Cambria Math" w:hAnsi="Cambria Math" w:cs="Times New Roman"/>
                      <w:sz w:val="20"/>
                      <w:szCs w:val="20"/>
                    </w:rPr>
                    <m:t>,b,f,c</m:t>
                  </m:r>
                  <m:ctrlPr>
                    <w:rPr>
                      <w:rFonts w:hint="default" w:ascii="Cambria Math" w:hAnsi="Cambria Math" w:cs="Times New Roman"/>
                      <w:i/>
                      <w:sz w:val="20"/>
                      <w:szCs w:val="20"/>
                    </w:rPr>
                  </m:ctrlPr>
                </m:sub>
              </m:sSub>
              <m:d>
                <m:dPr>
                  <m:ctrlPr>
                    <w:rPr>
                      <w:rFonts w:hint="default" w:ascii="Cambria Math" w:hAnsi="Cambria Math" w:eastAsia="MS Mincho" w:cs="Times New Roman"/>
                      <w:i/>
                      <w:sz w:val="20"/>
                      <w:szCs w:val="20"/>
                      <w:lang w:eastAsia="ja-JP"/>
                    </w:rPr>
                  </m:ctrlPr>
                </m:dPr>
                <m:e>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s</m:t>
                      </m:r>
                      <m:ctrlPr>
                        <w:rPr>
                          <w:rFonts w:hint="default" w:ascii="Cambria Math" w:hAnsi="Cambria Math" w:eastAsia="MS Mincho" w:cs="Times New Roman"/>
                          <w:i/>
                          <w:sz w:val="20"/>
                          <w:szCs w:val="20"/>
                          <w:lang w:eastAsia="ja-JP"/>
                        </w:rPr>
                      </m:ctrlPr>
                    </m:sub>
                  </m:sSub>
                  <m:ctrlPr>
                    <w:rPr>
                      <w:rFonts w:hint="default" w:ascii="Cambria Math" w:hAnsi="Cambria Math" w:eastAsia="MS Mincho" w:cs="Times New Roman"/>
                      <w:i/>
                      <w:sz w:val="20"/>
                      <w:szCs w:val="20"/>
                      <w:lang w:eastAsia="ja-JP"/>
                    </w:rPr>
                  </m:ctrlPr>
                </m:e>
              </m:d>
            </m:oMath>
            <w:r>
              <w:rPr>
                <w:rFonts w:hint="default" w:ascii="Times New Roman" w:hAnsi="Times New Roman" w:cs="Times New Roman"/>
                <w:sz w:val="20"/>
                <w:szCs w:val="20"/>
                <w:lang w:eastAsia="ja-JP"/>
              </w:rPr>
              <w:t xml:space="preserve"> </w:t>
            </w:r>
            <w:r>
              <w:rPr>
                <w:rFonts w:hint="default" w:ascii="Times New Roman" w:hAnsi="Times New Roman" w:cs="Times New Roman"/>
                <w:sz w:val="20"/>
                <w:szCs w:val="20"/>
              </w:rPr>
              <w:t xml:space="preserve">are provided by </w:t>
            </w:r>
            <w:r>
              <w:rPr>
                <w:rFonts w:hint="default" w:ascii="Times New Roman" w:hAnsi="Times New Roman" w:eastAsia="MS Mincho" w:cs="Times New Roman"/>
                <w:i/>
                <w:sz w:val="20"/>
                <w:szCs w:val="20"/>
              </w:rPr>
              <w:t>p0-r16</w:t>
            </w:r>
            <w:r>
              <w:rPr>
                <w:rFonts w:hint="default" w:ascii="Times New Roman" w:hAnsi="Times New Roman" w:eastAsia="MS Mincho" w:cs="Times New Roman"/>
                <w:sz w:val="20"/>
                <w:szCs w:val="20"/>
              </w:rPr>
              <w:t xml:space="preserve"> and</w:t>
            </w:r>
            <w:r>
              <w:rPr>
                <w:rFonts w:hint="default" w:ascii="Times New Roman" w:hAnsi="Times New Roman" w:cs="Times New Roman"/>
                <w:i/>
                <w:sz w:val="20"/>
                <w:szCs w:val="20"/>
              </w:rPr>
              <w:t xml:space="preserve"> alpha-r16</w:t>
            </w:r>
            <w:r>
              <w:rPr>
                <w:rFonts w:hint="default" w:ascii="Times New Roman" w:hAnsi="Times New Roman" w:cs="Times New Roman"/>
                <w:sz w:val="20"/>
                <w:szCs w:val="20"/>
              </w:rPr>
              <w:t xml:space="preserve"> respectively, for active UL BWP </w:t>
            </w:r>
            <m:oMath>
              <m:r>
                <m:rPr/>
                <w:rPr>
                  <w:rFonts w:hint="default" w:ascii="Cambria Math" w:hAnsi="Cambria Math" w:eastAsia="MS Mincho" w:cs="Times New Roman"/>
                  <w:sz w:val="20"/>
                  <w:szCs w:val="20"/>
                  <w:lang w:eastAsia="ja-JP"/>
                </w:rPr>
                <m:t>b</m:t>
              </m:r>
            </m:oMath>
            <w:r>
              <w:rPr>
                <w:rFonts w:hint="default" w:ascii="Times New Roman" w:hAnsi="Times New Roman" w:cs="Times New Roman"/>
                <w:iCs/>
                <w:sz w:val="20"/>
                <w:szCs w:val="20"/>
              </w:rPr>
              <w:t xml:space="preserve"> </w:t>
            </w:r>
            <w:r>
              <w:rPr>
                <w:rFonts w:hint="default" w:ascii="Times New Roman" w:hAnsi="Times New Roman" w:cs="Times New Roman"/>
                <w:sz w:val="20"/>
                <w:szCs w:val="20"/>
              </w:rPr>
              <w:t xml:space="preserve">of carrier </w:t>
            </w:r>
            <m:oMath>
              <m:r>
                <m:rPr/>
                <w:rPr>
                  <w:rFonts w:hint="default" w:ascii="Cambria Math" w:hAnsi="Cambria Math" w:eastAsia="MS Mincho" w:cs="Times New Roman"/>
                  <w:sz w:val="20"/>
                  <w:szCs w:val="20"/>
                  <w:lang w:eastAsia="ja-JP"/>
                </w:rPr>
                <m:t>f</m:t>
              </m:r>
            </m:oMath>
            <w:r>
              <w:rPr>
                <w:rFonts w:hint="default" w:ascii="Times New Roman" w:hAnsi="Times New Roman" w:cs="Times New Roman"/>
                <w:iCs/>
                <w:sz w:val="20"/>
                <w:szCs w:val="20"/>
              </w:rPr>
              <w:t xml:space="preserve"> of</w:t>
            </w:r>
            <w:r>
              <w:rPr>
                <w:rFonts w:hint="default" w:ascii="Times New Roman" w:hAnsi="Times New Roman" w:cs="Times New Roman"/>
                <w:sz w:val="20"/>
                <w:szCs w:val="20"/>
              </w:rPr>
              <w:t xml:space="preserve"> serving cell </w:t>
            </w:r>
            <m:oMath>
              <m:r>
                <m:rPr/>
                <w:rPr>
                  <w:rFonts w:hint="default" w:ascii="Cambria Math" w:hAnsi="Cambria Math" w:eastAsia="MS Mincho" w:cs="Times New Roman"/>
                  <w:sz w:val="20"/>
                  <w:szCs w:val="20"/>
                  <w:lang w:eastAsia="ja-JP"/>
                </w:rPr>
                <m:t>c</m:t>
              </m:r>
            </m:oMath>
            <w:r>
              <w:rPr>
                <w:rFonts w:hint="default" w:ascii="Times New Roman" w:hAnsi="Times New Roman" w:cs="Times New Roman"/>
                <w:sz w:val="20"/>
                <w:szCs w:val="20"/>
                <w:lang w:eastAsia="ja-JP"/>
              </w:rPr>
              <w:t>,</w:t>
            </w:r>
            <w:r>
              <w:rPr>
                <w:rFonts w:hint="default" w:ascii="Times New Roman" w:hAnsi="Times New Roman" w:cs="Times New Roman"/>
                <w:sz w:val="20"/>
                <w:szCs w:val="20"/>
              </w:rPr>
              <w:t xml:space="preserve"> and SRS resource set </w:t>
            </w:r>
            <m:oMath>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s</m:t>
                  </m:r>
                  <m:ctrlPr>
                    <w:rPr>
                      <w:rFonts w:hint="default" w:ascii="Cambria Math" w:hAnsi="Cambria Math" w:eastAsia="MS Mincho" w:cs="Times New Roman"/>
                      <w:i/>
                      <w:sz w:val="20"/>
                      <w:szCs w:val="20"/>
                      <w:lang w:eastAsia="ja-JP"/>
                    </w:rPr>
                  </m:ctrlPr>
                </m:sub>
              </m:sSub>
            </m:oMath>
            <w:r>
              <w:rPr>
                <w:rFonts w:hint="default" w:ascii="Times New Roman" w:hAnsi="Times New Roman" w:cs="Times New Roman"/>
                <w:sz w:val="20"/>
                <w:szCs w:val="20"/>
              </w:rPr>
              <w:t xml:space="preserve"> is indicated by </w:t>
            </w:r>
            <w:r>
              <w:rPr>
                <w:rFonts w:hint="default" w:ascii="Times New Roman" w:hAnsi="Times New Roman" w:cs="Times New Roman"/>
                <w:i/>
                <w:sz w:val="20"/>
                <w:szCs w:val="20"/>
              </w:rPr>
              <w:t xml:space="preserve">SRS-PosResourceSetId </w:t>
            </w:r>
            <w:r>
              <w:rPr>
                <w:rFonts w:hint="default" w:ascii="Times New Roman" w:hAnsi="Times New Roman" w:cs="Times New Roman"/>
                <w:sz w:val="20"/>
                <w:szCs w:val="20"/>
              </w:rPr>
              <w:t xml:space="preserve">from </w:t>
            </w:r>
            <w:r>
              <w:rPr>
                <w:rFonts w:hint="default" w:ascii="Times New Roman" w:hAnsi="Times New Roman" w:cs="Times New Roman"/>
                <w:i/>
                <w:sz w:val="20"/>
                <w:szCs w:val="20"/>
              </w:rPr>
              <w:t>SRS-PosResourceSet</w:t>
            </w:r>
            <w:r>
              <w:rPr>
                <w:rFonts w:hint="default" w:ascii="Times New Roman" w:hAnsi="Times New Roman" w:cs="Times New Roman"/>
                <w:sz w:val="20"/>
                <w:szCs w:val="20"/>
              </w:rPr>
              <w:t>, and</w:t>
            </w:r>
          </w:p>
          <w:p>
            <w:pPr>
              <w:pStyle w:val="84"/>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PL</m:t>
                  </m:r>
                  <m:ctrlPr>
                    <w:rPr>
                      <w:rFonts w:hint="default" w:ascii="Cambria Math" w:hAnsi="Cambria Math" w:cs="Times New Roman"/>
                      <w:i/>
                      <w:sz w:val="20"/>
                      <w:szCs w:val="20"/>
                    </w:rPr>
                  </m:ctrlPr>
                </m:e>
                <m:sub>
                  <m:r>
                    <m:rPr/>
                    <w:rPr>
                      <w:rFonts w:hint="default" w:ascii="Cambria Math" w:hAnsi="Cambria Math" w:cs="Times New Roman"/>
                      <w:sz w:val="20"/>
                      <w:szCs w:val="20"/>
                    </w:rPr>
                    <m:t>b,f,c</m:t>
                  </m:r>
                  <m:ctrlPr>
                    <w:rPr>
                      <w:rFonts w:hint="default" w:ascii="Cambria Math" w:hAnsi="Cambria Math" w:cs="Times New Roman"/>
                      <w:i/>
                      <w:sz w:val="20"/>
                      <w:szCs w:val="20"/>
                    </w:rPr>
                  </m:ctrlPr>
                </m:sub>
              </m:sSub>
              <m:d>
                <m:dPr>
                  <m:ctrlPr>
                    <w:rPr>
                      <w:rFonts w:hint="default" w:ascii="Cambria Math" w:hAnsi="Cambria Math" w:eastAsia="MS Mincho" w:cs="Times New Roman"/>
                      <w:i/>
                      <w:sz w:val="20"/>
                      <w:szCs w:val="20"/>
                      <w:lang w:eastAsia="ja-JP"/>
                    </w:rPr>
                  </m:ctrlPr>
                </m:dPr>
                <m:e>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d</m:t>
                      </m:r>
                      <m:ctrlPr>
                        <w:rPr>
                          <w:rFonts w:hint="default" w:ascii="Cambria Math" w:hAnsi="Cambria Math" w:eastAsia="MS Mincho" w:cs="Times New Roman"/>
                          <w:i/>
                          <w:sz w:val="20"/>
                          <w:szCs w:val="20"/>
                          <w:lang w:eastAsia="ja-JP"/>
                        </w:rPr>
                      </m:ctrlPr>
                    </m:sub>
                  </m:sSub>
                  <m:ctrlPr>
                    <w:rPr>
                      <w:rFonts w:hint="default" w:ascii="Cambria Math" w:hAnsi="Cambria Math" w:eastAsia="MS Mincho" w:cs="Times New Roman"/>
                      <w:i/>
                      <w:sz w:val="20"/>
                      <w:szCs w:val="20"/>
                      <w:lang w:eastAsia="ja-JP"/>
                    </w:rPr>
                  </m:ctrlPr>
                </m:e>
              </m:d>
            </m:oMath>
            <w:r>
              <w:rPr>
                <w:rFonts w:hint="default" w:ascii="Times New Roman" w:hAnsi="Times New Roman" w:cs="Times New Roman"/>
                <w:sz w:val="20"/>
                <w:szCs w:val="20"/>
                <w:lang w:eastAsia="ja-JP"/>
              </w:rPr>
              <w:t xml:space="preserve"> </w:t>
            </w:r>
            <w:r>
              <w:rPr>
                <w:rFonts w:hint="default" w:ascii="Times New Roman" w:hAnsi="Times New Roman" w:cs="Times New Roman"/>
                <w:sz w:val="20"/>
                <w:szCs w:val="20"/>
              </w:rPr>
              <w:t xml:space="preserve">is a downlink pathloss estimate </w:t>
            </w:r>
            <w:r>
              <w:rPr>
                <w:rFonts w:hint="default" w:ascii="Times New Roman" w:hAnsi="Times New Roman" w:eastAsia="MS Mincho" w:cs="Times New Roman"/>
                <w:sz w:val="20"/>
                <w:szCs w:val="20"/>
              </w:rPr>
              <w:t xml:space="preserve">in dB </w:t>
            </w:r>
            <w:r>
              <w:rPr>
                <w:rFonts w:hint="default" w:ascii="Times New Roman" w:hAnsi="Times New Roman" w:cs="Times New Roman"/>
                <w:sz w:val="20"/>
                <w:szCs w:val="20"/>
              </w:rPr>
              <w:t xml:space="preserve">calculated by the UE, as described in clause 7.1.1 in case of an active DL BWP </w:t>
            </w:r>
            <w:r>
              <w:rPr>
                <w:rFonts w:hint="default" w:ascii="Times New Roman" w:hAnsi="Times New Roman" w:cs="Times New Roman"/>
                <w:iCs/>
                <w:sz w:val="20"/>
                <w:szCs w:val="20"/>
              </w:rPr>
              <w:t>of</w:t>
            </w:r>
            <w:r>
              <w:rPr>
                <w:rFonts w:hint="default" w:ascii="Times New Roman" w:hAnsi="Times New Roman" w:cs="Times New Roman"/>
                <w:sz w:val="20"/>
                <w:szCs w:val="20"/>
              </w:rPr>
              <w:t xml:space="preserve"> a serving cell </w:t>
            </w:r>
            <m:oMath>
              <m:r>
                <m:rPr/>
                <w:rPr>
                  <w:rFonts w:hint="default" w:ascii="Cambria Math" w:hAnsi="Cambria Math" w:eastAsia="MS Mincho" w:cs="Times New Roman"/>
                  <w:sz w:val="20"/>
                  <w:szCs w:val="20"/>
                  <w:lang w:eastAsia="ja-JP"/>
                </w:rPr>
                <m:t>c</m:t>
              </m:r>
            </m:oMath>
            <w:r>
              <w:rPr>
                <w:rFonts w:hint="default" w:ascii="Times New Roman" w:hAnsi="Times New Roman" w:cs="Times New Roman"/>
                <w:sz w:val="20"/>
                <w:szCs w:val="20"/>
                <w:lang w:eastAsia="ja-JP"/>
              </w:rPr>
              <w:t>,</w:t>
            </w:r>
            <w:r>
              <w:rPr>
                <w:rFonts w:hint="default" w:ascii="Times New Roman" w:hAnsi="Times New Roman" w:cs="Times New Roman"/>
                <w:sz w:val="20"/>
                <w:szCs w:val="20"/>
              </w:rPr>
              <w:t xml:space="preserve"> using RS resource indexed </w:t>
            </w:r>
            <m:oMath>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d</m:t>
                  </m:r>
                  <m:ctrlPr>
                    <w:rPr>
                      <w:rFonts w:hint="default" w:ascii="Cambria Math" w:hAnsi="Cambria Math" w:eastAsia="MS Mincho" w:cs="Times New Roman"/>
                      <w:i/>
                      <w:sz w:val="20"/>
                      <w:szCs w:val="20"/>
                      <w:lang w:eastAsia="ja-JP"/>
                    </w:rPr>
                  </m:ctrlPr>
                </m:sub>
              </m:sSub>
            </m:oMath>
            <w:r>
              <w:rPr>
                <w:rFonts w:hint="default" w:ascii="Times New Roman" w:hAnsi="Times New Roman" w:cs="Times New Roman"/>
                <w:iCs/>
                <w:sz w:val="20"/>
                <w:szCs w:val="20"/>
              </w:rPr>
              <w:t xml:space="preserve"> </w:t>
            </w:r>
            <w:r>
              <w:rPr>
                <w:rFonts w:hint="default" w:ascii="Times New Roman" w:hAnsi="Times New Roman" w:cs="Times New Roman"/>
                <w:sz w:val="20"/>
                <w:szCs w:val="20"/>
              </w:rPr>
              <w:t xml:space="preserve">in a serving or non-serving cell </w:t>
            </w:r>
            <w:r>
              <w:rPr>
                <w:rFonts w:hint="default" w:ascii="Times New Roman" w:hAnsi="Times New Roman" w:eastAsia="MS Mincho" w:cs="Times New Roman"/>
                <w:sz w:val="20"/>
                <w:szCs w:val="20"/>
              </w:rPr>
              <w:t xml:space="preserve">for SRS resource set </w:t>
            </w:r>
            <m:oMath>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s</m:t>
                  </m:r>
                  <m:ctrlPr>
                    <w:rPr>
                      <w:rFonts w:hint="default" w:ascii="Cambria Math" w:hAnsi="Cambria Math" w:eastAsia="MS Mincho" w:cs="Times New Roman"/>
                      <w:i/>
                      <w:sz w:val="20"/>
                      <w:szCs w:val="20"/>
                      <w:lang w:eastAsia="ja-JP"/>
                    </w:rPr>
                  </m:ctrlPr>
                </m:sub>
              </m:sSub>
            </m:oMath>
            <w:r>
              <w:rPr>
                <w:rFonts w:hint="default" w:ascii="Times New Roman" w:hAnsi="Times New Roman" w:cs="Times New Roman"/>
                <w:sz w:val="20"/>
                <w:szCs w:val="20"/>
              </w:rPr>
              <w:t xml:space="preserve"> [6, TS 38.214]. A configuration for RS resource index </w:t>
            </w:r>
            <m:oMath>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d</m:t>
                  </m:r>
                  <m:ctrlPr>
                    <w:rPr>
                      <w:rFonts w:hint="default" w:ascii="Cambria Math" w:hAnsi="Cambria Math" w:eastAsia="MS Mincho" w:cs="Times New Roman"/>
                      <w:i/>
                      <w:sz w:val="20"/>
                      <w:szCs w:val="20"/>
                      <w:lang w:eastAsia="ja-JP"/>
                    </w:rPr>
                  </m:ctrlPr>
                </m:sub>
              </m:sSub>
            </m:oMath>
            <w:r>
              <w:rPr>
                <w:rFonts w:hint="default" w:ascii="Times New Roman" w:hAnsi="Times New Roman" w:cs="Times New Roman"/>
                <w:sz w:val="20"/>
                <w:szCs w:val="20"/>
              </w:rPr>
              <w:t xml:space="preserve"> associated with SRS resource set </w:t>
            </w:r>
            <m:oMath>
              <m:sSub>
                <m:sSubPr>
                  <m:ctrlPr>
                    <w:rPr>
                      <w:rFonts w:hint="default" w:ascii="Cambria Math" w:hAnsi="Cambria Math" w:eastAsia="MS Mincho" w:cs="Times New Roman"/>
                      <w:i/>
                      <w:sz w:val="20"/>
                      <w:szCs w:val="20"/>
                      <w:lang w:eastAsia="ja-JP"/>
                    </w:rPr>
                  </m:ctrlPr>
                </m:sSubPr>
                <m:e>
                  <m:r>
                    <m:rPr/>
                    <w:rPr>
                      <w:rFonts w:hint="default" w:ascii="Cambria Math" w:hAnsi="Cambria Math" w:eastAsia="MS Mincho" w:cs="Times New Roman"/>
                      <w:sz w:val="20"/>
                      <w:szCs w:val="20"/>
                      <w:lang w:eastAsia="ja-JP"/>
                    </w:rPr>
                    <m:t>q</m:t>
                  </m:r>
                  <m:ctrlPr>
                    <w:rPr>
                      <w:rFonts w:hint="default" w:ascii="Cambria Math" w:hAnsi="Cambria Math" w:eastAsia="MS Mincho" w:cs="Times New Roman"/>
                      <w:i/>
                      <w:sz w:val="20"/>
                      <w:szCs w:val="20"/>
                      <w:lang w:eastAsia="ja-JP"/>
                    </w:rPr>
                  </m:ctrlPr>
                </m:e>
                <m:sub>
                  <m:r>
                    <m:rPr/>
                    <w:rPr>
                      <w:rFonts w:hint="default" w:ascii="Cambria Math" w:hAnsi="Cambria Math" w:eastAsia="MS Mincho" w:cs="Times New Roman"/>
                      <w:sz w:val="20"/>
                      <w:szCs w:val="20"/>
                      <w:lang w:eastAsia="ja-JP"/>
                    </w:rPr>
                    <m:t>s</m:t>
                  </m:r>
                  <m:ctrlPr>
                    <w:rPr>
                      <w:rFonts w:hint="default" w:ascii="Cambria Math" w:hAnsi="Cambria Math" w:eastAsia="MS Mincho" w:cs="Times New Roman"/>
                      <w:i/>
                      <w:sz w:val="20"/>
                      <w:szCs w:val="20"/>
                      <w:lang w:eastAsia="ja-JP"/>
                    </w:rPr>
                  </m:ctrlPr>
                </m:sub>
              </m:sSub>
            </m:oMath>
            <w:r>
              <w:rPr>
                <w:rFonts w:hint="default" w:ascii="Times New Roman" w:hAnsi="Times New Roman" w:cs="Times New Roman"/>
                <w:sz w:val="20"/>
                <w:szCs w:val="20"/>
              </w:rPr>
              <w:t xml:space="preserve"> is provided </w:t>
            </w:r>
            <w:r>
              <w:rPr>
                <w:rFonts w:hint="default" w:ascii="Times New Roman" w:hAnsi="Times New Roman" w:eastAsia="MS Mincho" w:cs="Times New Roman"/>
                <w:sz w:val="20"/>
                <w:szCs w:val="20"/>
              </w:rPr>
              <w:t>by</w:t>
            </w:r>
            <w:r>
              <w:rPr>
                <w:rFonts w:hint="default" w:ascii="Times New Roman" w:hAnsi="Times New Roman" w:cs="Times New Roman"/>
                <w:sz w:val="20"/>
                <w:szCs w:val="20"/>
              </w:rPr>
              <w:t xml:space="preserve"> </w:t>
            </w:r>
            <w:r>
              <w:rPr>
                <w:rFonts w:hint="default" w:ascii="Times New Roman" w:hAnsi="Times New Roman" w:cs="Times New Roman"/>
                <w:i/>
                <w:sz w:val="20"/>
                <w:szCs w:val="20"/>
              </w:rPr>
              <w:t>pathlossReferenceRS-Pos.</w:t>
            </w:r>
            <w:r>
              <w:rPr>
                <w:rFonts w:hint="default" w:ascii="Times New Roman" w:hAnsi="Times New Roman" w:cs="Times New Roman"/>
                <w:sz w:val="20"/>
                <w:szCs w:val="20"/>
              </w:rPr>
              <w:t xml:space="preserve"> </w:t>
            </w:r>
          </w:p>
        </w:tc>
      </w:tr>
    </w:tbl>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In the above formula, transmission power control</w:t>
      </w:r>
      <w:r>
        <w:rPr>
          <w:rFonts w:hint="eastAsia" w:ascii="Times New Roman" w:hAnsi="Times New Roman" w:cs="Times New Roman"/>
          <w:sz w:val="20"/>
          <w:szCs w:val="20"/>
          <w:lang w:val="en-US" w:eastAsia="zh-CN"/>
        </w:rPr>
        <w:t xml:space="preserve"> related</w:t>
      </w:r>
      <w:r>
        <w:rPr>
          <w:rFonts w:hint="default" w:ascii="Times New Roman" w:hAnsi="Times New Roman" w:cs="Times New Roman"/>
          <w:sz w:val="20"/>
          <w:szCs w:val="20"/>
        </w:rPr>
        <w:t xml:space="preserve"> parameters in SRS configuration comprise </w:t>
      </w:r>
      <w:r>
        <w:rPr>
          <w:rFonts w:hint="default" w:ascii="Times New Roman" w:hAnsi="Times New Roman" w:cs="Times New Roman"/>
          <w:i/>
          <w:iCs/>
          <w:sz w:val="20"/>
          <w:szCs w:val="20"/>
        </w:rPr>
        <w:t>p0</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 xml:space="preserve">alpha </w:t>
      </w:r>
      <w:r>
        <w:rPr>
          <w:rFonts w:hint="default" w:ascii="Times New Roman" w:hAnsi="Times New Roman" w:cs="Times New Roman"/>
          <w:sz w:val="20"/>
          <w:szCs w:val="20"/>
        </w:rPr>
        <w:t xml:space="preserve">and </w:t>
      </w:r>
      <w:r>
        <w:rPr>
          <w:rFonts w:hint="default" w:ascii="Times New Roman" w:hAnsi="Times New Roman" w:cs="Times New Roman"/>
          <w:i/>
          <w:iCs/>
          <w:sz w:val="20"/>
          <w:szCs w:val="20"/>
        </w:rPr>
        <w:t>pathlossReferenceRS-Pos</w:t>
      </w:r>
      <w:r>
        <w:rPr>
          <w:rFonts w:hint="default" w:ascii="Times New Roman" w:hAnsi="Times New Roman" w:cs="Times New Roman"/>
          <w:sz w:val="20"/>
          <w:szCs w:val="20"/>
        </w:rPr>
        <w:t xml:space="preserve">. </w:t>
      </w:r>
    </w:p>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For the UE in RRC_CONNECTED state, UE may calculate above parameter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PL</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d</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rPr>
        <w:t xml:space="preserve"> using a RS resource obtained from the SSB of the serving cell that the UE uses to obtain MIB when UE is not provided with </w:t>
      </w:r>
      <w:r>
        <w:rPr>
          <w:rFonts w:hint="default" w:ascii="Times New Roman" w:hAnsi="Times New Roman" w:cs="Times New Roman"/>
          <w:i/>
          <w:iCs/>
          <w:sz w:val="20"/>
          <w:szCs w:val="20"/>
          <w:lang w:eastAsia="ja-JP"/>
        </w:rPr>
        <w:t>pathlossReferenceRS-Pos</w:t>
      </w:r>
      <w:r>
        <w:rPr>
          <w:rFonts w:hint="default" w:ascii="Times New Roman" w:hAnsi="Times New Roman" w:cs="Times New Roman"/>
          <w:sz w:val="20"/>
          <w:szCs w:val="20"/>
        </w:rPr>
        <w:t xml:space="preserve">. But for LPHAP, UEs are expected to not enter RRC_CONNECTED state frequently. If UE is in the RRC_INACTIVE state and determines that the UE is not able to accurately measure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PL</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d</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lang w:eastAsia="ja-JP"/>
        </w:rPr>
        <w:t xml:space="preserve">, the UE </w:t>
      </w:r>
      <w:r>
        <w:rPr>
          <w:rFonts w:hint="default" w:ascii="Times New Roman" w:hAnsi="Times New Roman" w:cs="Times New Roman"/>
          <w:sz w:val="20"/>
          <w:szCs w:val="20"/>
        </w:rPr>
        <w:t>will not</w:t>
      </w:r>
      <w:r>
        <w:rPr>
          <w:rFonts w:hint="default" w:ascii="Times New Roman" w:hAnsi="Times New Roman" w:cs="Times New Roman"/>
          <w:sz w:val="20"/>
          <w:szCs w:val="20"/>
          <w:lang w:eastAsia="ja-JP"/>
        </w:rPr>
        <w:t xml:space="preserve"> transmit SRS </w:t>
      </w:r>
      <w:r>
        <w:rPr>
          <w:rFonts w:hint="default" w:ascii="Times New Roman" w:hAnsi="Times New Roman" w:cs="Times New Roman"/>
          <w:sz w:val="20"/>
          <w:szCs w:val="20"/>
        </w:rPr>
        <w:t xml:space="preserve">in the configured </w:t>
      </w:r>
      <w:r>
        <w:rPr>
          <w:rFonts w:hint="default" w:ascii="Times New Roman" w:hAnsi="Times New Roman" w:cs="Times New Roman"/>
          <w:sz w:val="20"/>
          <w:szCs w:val="20"/>
          <w:lang w:eastAsia="ja-JP"/>
        </w:rPr>
        <w:t>SRS resource set.</w:t>
      </w:r>
      <w:r>
        <w:rPr>
          <w:rFonts w:hint="default" w:ascii="Times New Roman" w:hAnsi="Times New Roman" w:cs="Times New Roman"/>
          <w:sz w:val="20"/>
          <w:szCs w:val="20"/>
        </w:rPr>
        <w:t xml:space="preserve"> Moreover, the need for fields to be present for </w:t>
      </w:r>
      <w:r>
        <w:rPr>
          <w:rFonts w:hint="default" w:ascii="Times New Roman" w:hAnsi="Times New Roman" w:cs="Times New Roman"/>
          <w:i/>
          <w:iCs/>
          <w:sz w:val="20"/>
          <w:szCs w:val="20"/>
          <w:lang w:eastAsia="ja-JP"/>
        </w:rPr>
        <w:t>pathlossReferenceRS-Pos</w:t>
      </w:r>
      <w:r>
        <w:rPr>
          <w:rFonts w:hint="default" w:ascii="Times New Roman" w:hAnsi="Times New Roman" w:cs="Times New Roman"/>
          <w:sz w:val="20"/>
          <w:szCs w:val="20"/>
        </w:rPr>
        <w:t xml:space="preserve"> is Need M, which means, upon receiving a message with the field absent, the UE maintains the current value. However, if UE moves to a new cell while maintaining the previous </w:t>
      </w:r>
      <w:r>
        <w:rPr>
          <w:rFonts w:hint="default" w:ascii="Times New Roman" w:hAnsi="Times New Roman" w:cs="Times New Roman"/>
          <w:i/>
          <w:iCs/>
          <w:sz w:val="20"/>
          <w:szCs w:val="20"/>
          <w:lang w:eastAsia="ja-JP"/>
        </w:rPr>
        <w:t>pathlossReferenceRS-Pos</w:t>
      </w:r>
      <w:r>
        <w:rPr>
          <w:rFonts w:hint="default" w:ascii="Times New Roman" w:hAnsi="Times New Roman" w:cs="Times New Roman"/>
          <w:sz w:val="20"/>
          <w:szCs w:val="20"/>
        </w:rPr>
        <w:t xml:space="preserve"> configuration, UE cannot measure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PL</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d</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rPr>
        <w:t xml:space="preserve"> accurately, the SRS resource cannot be transmitted successfully. Therefore, the </w:t>
      </w:r>
      <w:r>
        <w:rPr>
          <w:rFonts w:hint="default" w:ascii="Times New Roman" w:hAnsi="Times New Roman" w:cs="Times New Roman"/>
          <w:i/>
          <w:iCs/>
          <w:sz w:val="20"/>
          <w:szCs w:val="20"/>
        </w:rPr>
        <w:t>pathlossReferenceRS-Pos</w:t>
      </w:r>
      <w:r>
        <w:rPr>
          <w:rFonts w:hint="default" w:ascii="Times New Roman" w:hAnsi="Times New Roman" w:cs="Times New Roman"/>
          <w:sz w:val="20"/>
          <w:szCs w:val="20"/>
        </w:rPr>
        <w:t xml:space="preserve"> is invalid for SRS transmission power determination for UE not in RRC_CONNECTED state when UE camps on a new cell. </w:t>
      </w:r>
    </w:p>
    <w:p>
      <w:pPr>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From another perspective,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P</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O_SRS,b,f,c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s</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lang w:eastAsia="ja-JP"/>
        </w:rPr>
        <w:t xml:space="preserve"> and </w:t>
      </w:r>
      <m:oMath>
        <m:sSub>
          <m:sSubPr>
            <m:ctrlPr>
              <w:rPr>
                <w:rFonts w:hint="default" w:ascii="Cambria Math" w:hAnsi="Cambria Math" w:cs="Times New Roman"/>
                <w:sz w:val="20"/>
                <w:szCs w:val="20"/>
              </w:rPr>
            </m:ctrlPr>
          </m:sSubPr>
          <m:e>
            <m:r>
              <m:rPr>
                <m:sty m:val="p"/>
              </m:rPr>
              <w:rPr>
                <w:rFonts w:hint="default" w:ascii="Cambria Math" w:hAnsi="Cambria Math" w:cs="Times New Roman"/>
                <w:sz w:val="20"/>
                <w:szCs w:val="20"/>
              </w:rPr>
              <m:t>α</m:t>
            </m:r>
            <m:ctrlPr>
              <w:rPr>
                <w:rFonts w:hint="default" w:ascii="Cambria Math" w:hAnsi="Cambria Math" w:cs="Times New Roman"/>
                <w:sz w:val="20"/>
                <w:szCs w:val="20"/>
              </w:rPr>
            </m:ctrlPr>
          </m:e>
          <m:sub>
            <m:r>
              <m:rPr>
                <m:sty m:val="p"/>
              </m:rPr>
              <w:rPr>
                <w:rFonts w:hint="default" w:ascii="Cambria Math" w:hAnsi="Cambria Math" w:cs="Times New Roman"/>
                <w:sz w:val="20"/>
                <w:szCs w:val="20"/>
              </w:rPr>
              <m:t>SRS,b,f,c</m:t>
            </m:r>
            <m:ctrlPr>
              <w:rPr>
                <w:rFonts w:hint="default" w:ascii="Cambria Math" w:hAnsi="Cambria Math" w:cs="Times New Roman"/>
                <w:sz w:val="20"/>
                <w:szCs w:val="20"/>
              </w:rPr>
            </m:ctrlPr>
          </m:sub>
        </m:sSub>
        <m:d>
          <m:dPr>
            <m:ctrlPr>
              <w:rPr>
                <w:rFonts w:hint="default" w:ascii="Cambria Math" w:hAnsi="Cambria Math" w:cs="Times New Roman"/>
                <w:sz w:val="20"/>
                <w:szCs w:val="20"/>
                <w:lang w:eastAsia="ja-JP"/>
              </w:rPr>
            </m:ctrlPr>
          </m:dPr>
          <m:e>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s</m:t>
                </m:r>
                <m:ctrlPr>
                  <w:rPr>
                    <w:rFonts w:hint="default" w:ascii="Cambria Math" w:hAnsi="Cambria Math" w:cs="Times New Roman"/>
                    <w:sz w:val="20"/>
                    <w:szCs w:val="20"/>
                    <w:lang w:eastAsia="ja-JP"/>
                  </w:rPr>
                </m:ctrlPr>
              </m:sub>
            </m:sSub>
            <m:ctrlPr>
              <w:rPr>
                <w:rFonts w:hint="default" w:ascii="Cambria Math" w:hAnsi="Cambria Math" w:cs="Times New Roman"/>
                <w:sz w:val="20"/>
                <w:szCs w:val="20"/>
                <w:lang w:eastAsia="ja-JP"/>
              </w:rPr>
            </m:ctrlPr>
          </m:e>
        </m:d>
      </m:oMath>
      <w:r>
        <w:rPr>
          <w:rFonts w:hint="default" w:ascii="Times New Roman" w:hAnsi="Times New Roman" w:cs="Times New Roman"/>
          <w:sz w:val="20"/>
          <w:szCs w:val="20"/>
          <w:lang w:eastAsia="ja-JP"/>
        </w:rPr>
        <w:t xml:space="preserve"> </w:t>
      </w:r>
      <w:r>
        <w:rPr>
          <w:rFonts w:hint="default" w:ascii="Times New Roman" w:hAnsi="Times New Roman" w:cs="Times New Roman"/>
          <w:sz w:val="20"/>
          <w:szCs w:val="20"/>
        </w:rPr>
        <w:t xml:space="preserve">are provided by </w:t>
      </w:r>
      <w:r>
        <w:rPr>
          <w:rFonts w:hint="default" w:ascii="Times New Roman" w:hAnsi="Times New Roman" w:cs="Times New Roman"/>
          <w:i/>
          <w:iCs/>
          <w:sz w:val="20"/>
          <w:szCs w:val="20"/>
        </w:rPr>
        <w:t>p0-r16</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rPr>
        <w:t>alpha-r16</w:t>
      </w:r>
      <w:r>
        <w:rPr>
          <w:rFonts w:hint="default" w:ascii="Times New Roman" w:hAnsi="Times New Roman" w:cs="Times New Roman"/>
          <w:sz w:val="20"/>
          <w:szCs w:val="20"/>
        </w:rPr>
        <w:t xml:space="preserve">, for active UL BWP </w:t>
      </w:r>
      <m:oMath>
        <m:r>
          <m:rPr>
            <m:sty m:val="p"/>
          </m:rPr>
          <w:rPr>
            <w:rFonts w:hint="default" w:ascii="Cambria Math" w:hAnsi="Cambria Math" w:cs="Times New Roman"/>
            <w:sz w:val="20"/>
            <w:szCs w:val="20"/>
            <w:lang w:eastAsia="ja-JP"/>
          </w:rPr>
          <m:t>b</m:t>
        </m:r>
      </m:oMath>
      <w:r>
        <w:rPr>
          <w:rFonts w:hint="default" w:ascii="Times New Roman" w:hAnsi="Times New Roman" w:cs="Times New Roman"/>
          <w:sz w:val="20"/>
          <w:szCs w:val="20"/>
        </w:rPr>
        <w:t xml:space="preserve"> of carrier </w:t>
      </w:r>
      <m:oMath>
        <m:r>
          <m:rPr>
            <m:sty m:val="p"/>
          </m:rPr>
          <w:rPr>
            <w:rFonts w:hint="default" w:ascii="Cambria Math" w:hAnsi="Cambria Math" w:cs="Times New Roman"/>
            <w:sz w:val="20"/>
            <w:szCs w:val="20"/>
            <w:lang w:eastAsia="ja-JP"/>
          </w:rPr>
          <m:t>f</m:t>
        </m:r>
      </m:oMath>
      <w:r>
        <w:rPr>
          <w:rFonts w:hint="default" w:ascii="Times New Roman" w:hAnsi="Times New Roman" w:cs="Times New Roman"/>
          <w:sz w:val="20"/>
          <w:szCs w:val="20"/>
        </w:rPr>
        <w:t xml:space="preserve"> of serving cell </w:t>
      </w:r>
      <m:oMath>
        <m:r>
          <m:rPr>
            <m:sty m:val="p"/>
          </m:rPr>
          <w:rPr>
            <w:rFonts w:hint="default" w:ascii="Cambria Math" w:hAnsi="Cambria Math" w:cs="Times New Roman"/>
            <w:sz w:val="20"/>
            <w:szCs w:val="20"/>
            <w:lang w:eastAsia="ja-JP"/>
          </w:rPr>
          <m:t>c</m:t>
        </m:r>
      </m:oMath>
      <w:r>
        <w:rPr>
          <w:rFonts w:hint="default" w:ascii="Times New Roman" w:hAnsi="Times New Roman" w:cs="Times New Roman"/>
          <w:sz w:val="20"/>
          <w:szCs w:val="20"/>
          <w:lang w:eastAsia="ja-JP"/>
        </w:rPr>
        <w:t>,</w:t>
      </w:r>
      <w:r>
        <w:rPr>
          <w:rFonts w:hint="default" w:ascii="Times New Roman" w:hAnsi="Times New Roman" w:cs="Times New Roman"/>
          <w:sz w:val="20"/>
          <w:szCs w:val="20"/>
        </w:rPr>
        <w:t xml:space="preserve"> and SRS resource set </w:t>
      </w:r>
      <m:oMath>
        <m:sSub>
          <m:sSubPr>
            <m:ctrlPr>
              <w:rPr>
                <w:rFonts w:hint="default" w:ascii="Cambria Math" w:hAnsi="Cambria Math" w:cs="Times New Roman"/>
                <w:sz w:val="20"/>
                <w:szCs w:val="20"/>
                <w:lang w:eastAsia="ja-JP"/>
              </w:rPr>
            </m:ctrlPr>
          </m:sSubPr>
          <m:e>
            <m:r>
              <m:rPr>
                <m:sty m:val="p"/>
              </m:rPr>
              <w:rPr>
                <w:rFonts w:hint="default" w:ascii="Cambria Math" w:hAnsi="Cambria Math" w:cs="Times New Roman"/>
                <w:sz w:val="20"/>
                <w:szCs w:val="20"/>
                <w:lang w:eastAsia="ja-JP"/>
              </w:rPr>
              <m:t>q</m:t>
            </m:r>
            <m:ctrlPr>
              <w:rPr>
                <w:rFonts w:hint="default" w:ascii="Cambria Math" w:hAnsi="Cambria Math" w:cs="Times New Roman"/>
                <w:sz w:val="20"/>
                <w:szCs w:val="20"/>
                <w:lang w:eastAsia="ja-JP"/>
              </w:rPr>
            </m:ctrlPr>
          </m:e>
          <m:sub>
            <m:r>
              <m:rPr>
                <m:sty m:val="p"/>
              </m:rPr>
              <w:rPr>
                <w:rFonts w:hint="default" w:ascii="Cambria Math" w:hAnsi="Cambria Math" w:cs="Times New Roman"/>
                <w:sz w:val="20"/>
                <w:szCs w:val="20"/>
                <w:lang w:eastAsia="ja-JP"/>
              </w:rPr>
              <m:t>s</m:t>
            </m:r>
            <m:ctrlPr>
              <w:rPr>
                <w:rFonts w:hint="default" w:ascii="Cambria Math" w:hAnsi="Cambria Math" w:cs="Times New Roman"/>
                <w:sz w:val="20"/>
                <w:szCs w:val="20"/>
                <w:lang w:eastAsia="ja-JP"/>
              </w:rPr>
            </m:ctrlPr>
          </m:sub>
        </m:sSub>
      </m:oMath>
      <w:r>
        <w:rPr>
          <w:rFonts w:hint="default" w:ascii="Times New Roman" w:hAnsi="Times New Roman" w:cs="Times New Roman"/>
          <w:sz w:val="20"/>
          <w:szCs w:val="20"/>
        </w:rPr>
        <w:t xml:space="preserve">. When UE camps on a new cell, </w:t>
      </w:r>
      <w:r>
        <w:rPr>
          <w:rFonts w:hint="default" w:ascii="Times New Roman" w:hAnsi="Times New Roman" w:cs="Times New Roman"/>
          <w:i/>
          <w:iCs/>
          <w:sz w:val="20"/>
          <w:szCs w:val="20"/>
        </w:rPr>
        <w:t>p0</w:t>
      </w:r>
      <w:r>
        <w:rPr>
          <w:rFonts w:hint="default" w:ascii="Times New Roman" w:hAnsi="Times New Roman" w:cs="Times New Roman"/>
          <w:sz w:val="20"/>
          <w:szCs w:val="20"/>
        </w:rPr>
        <w:t xml:space="preserve"> and </w:t>
      </w:r>
      <w:r>
        <w:rPr>
          <w:rFonts w:hint="default" w:ascii="Times New Roman" w:hAnsi="Times New Roman" w:cs="Times New Roman"/>
          <w:i/>
          <w:iCs/>
          <w:sz w:val="20"/>
          <w:szCs w:val="20"/>
        </w:rPr>
        <w:t xml:space="preserve">alpha </w:t>
      </w:r>
      <w:r>
        <w:rPr>
          <w:rFonts w:hint="default" w:ascii="Times New Roman" w:hAnsi="Times New Roman" w:cs="Times New Roman"/>
          <w:sz w:val="20"/>
          <w:szCs w:val="20"/>
        </w:rPr>
        <w:t>could be different from the previous serving cell. Hence, we have the following observation</w:t>
      </w:r>
      <w:r>
        <w:rPr>
          <w:rFonts w:hint="default" w:ascii="Times New Roman" w:hAnsi="Times New Roman" w:cs="Times New Roman"/>
          <w:sz w:val="20"/>
          <w:szCs w:val="20"/>
          <w:lang w:val="en-US" w:eastAsia="zh-CN"/>
        </w:rPr>
        <w:t xml:space="preserve"> and proposal</w:t>
      </w:r>
      <w:r>
        <w:rPr>
          <w:rFonts w:hint="default" w:ascii="Times New Roman" w:hAnsi="Times New Roman" w:cs="Times New Roman"/>
          <w:sz w:val="20"/>
          <w:szCs w:val="20"/>
        </w:rPr>
        <w:t>:</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i/>
          <w:iCs/>
          <w:lang w:val="en-US" w:eastAsia="zh-CN"/>
        </w:rPr>
      </w:pPr>
      <w:bookmarkStart w:id="16" w:name="_Ref21665"/>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4</w:t>
      </w:r>
      <w:r>
        <w:rPr>
          <w:rFonts w:hint="default" w:ascii="Times New Roman" w:hAnsi="Times New Roman" w:cs="Times New Roman"/>
          <w:i/>
          <w:iCs/>
        </w:rPr>
        <w:fldChar w:fldCharType="end"/>
      </w:r>
      <w:r>
        <w:rPr>
          <w:rFonts w:hint="default" w:ascii="Times New Roman" w:hAnsi="Times New Roman" w:cs="Times New Roman"/>
          <w:i/>
          <w:iCs/>
          <w:lang w:val="en-US" w:eastAsia="zh-CN"/>
        </w:rPr>
        <w:t xml:space="preserve">: Power control related parameters include pathloss reference, p0 and alpha </w:t>
      </w:r>
      <w:r>
        <w:rPr>
          <w:rFonts w:hint="eastAsia" w:ascii="Times New Roman" w:hAnsi="Times New Roman" w:cs="Times New Roman"/>
          <w:i/>
          <w:iCs/>
          <w:lang w:val="en-US" w:eastAsia="zh-CN"/>
        </w:rPr>
        <w:t>cannot be reused in multiple cells,</w:t>
      </w:r>
      <w:r>
        <w:rPr>
          <w:rFonts w:hint="default" w:ascii="Times New Roman" w:hAnsi="Times New Roman" w:cs="Times New Roman"/>
          <w:i/>
          <w:iCs/>
          <w:lang w:val="en-US" w:eastAsia="zh-CN"/>
        </w:rPr>
        <w:t xml:space="preserve"> these configurations are regarded as invalid when UE camps on a new cell. </w:t>
      </w:r>
      <w:bookmarkEnd w:id="16"/>
    </w:p>
    <w:p>
      <w:pPr>
        <w:pStyle w:val="15"/>
        <w:keepNext w:val="0"/>
        <w:pageBreakBefore w:val="0"/>
        <w:widowControl/>
        <w:kinsoku/>
        <w:wordWrap/>
        <w:overflowPunct/>
        <w:topLinePunct w:val="0"/>
        <w:autoSpaceDE/>
        <w:autoSpaceDN/>
        <w:bidi w:val="0"/>
        <w:adjustRightInd w:val="0"/>
        <w:snapToGrid w:val="0"/>
        <w:spacing w:before="180" w:beforeLines="50" w:after="180" w:afterLines="50" w:line="240" w:lineRule="auto"/>
        <w:jc w:val="both"/>
        <w:textAlignment w:val="auto"/>
        <w:rPr>
          <w:rFonts w:hint="default" w:ascii="Times New Roman" w:hAnsi="Times New Roman" w:cs="Times New Roman"/>
          <w:i/>
          <w:iCs/>
          <w:lang w:val="en-US" w:eastAsia="zh-CN"/>
        </w:rPr>
      </w:pPr>
      <w:bookmarkStart w:id="17" w:name="_Ref16796"/>
      <w:r>
        <w:rPr>
          <w:rFonts w:hint="default" w:ascii="Times New Roman" w:hAnsi="Times New Roman" w:cs="Times New Roman"/>
          <w:b/>
          <w:bCs/>
          <w:i/>
          <w:iCs/>
          <w:sz w:val="20"/>
          <w:szCs w:val="20"/>
        </w:rPr>
        <w:t xml:space="preserve">Proposal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Proposal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3</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i/>
          <w:iCs/>
          <w:lang w:val="en-US" w:eastAsia="zh-CN"/>
        </w:rPr>
        <w:t xml:space="preserve">Configure multiple configurations of Pathloss reference, p0 and alpha by the serving cell, where each </w:t>
      </w:r>
      <w:r>
        <w:rPr>
          <w:rFonts w:hint="eastAsia" w:cs="Times New Roman"/>
          <w:i/>
          <w:iCs/>
          <w:lang w:val="en-US" w:eastAsia="zh-CN"/>
        </w:rPr>
        <w:t xml:space="preserve">configuration </w:t>
      </w:r>
      <w:r>
        <w:rPr>
          <w:rFonts w:hint="default" w:ascii="Times New Roman" w:hAnsi="Times New Roman" w:cs="Times New Roman"/>
          <w:i/>
          <w:iCs/>
          <w:lang w:val="en-US" w:eastAsia="zh-CN"/>
        </w:rPr>
        <w:t>is for one cell in the valid area. And UE can automatically use the corresponding when UE camps on a new cell.</w:t>
      </w:r>
      <w:bookmarkEnd w:id="17"/>
    </w:p>
    <w:p>
      <w:pPr>
        <w:pStyle w:val="4"/>
        <w:ind w:firstLine="241"/>
        <w:jc w:val="both"/>
        <w:rPr>
          <w:rFonts w:hint="default" w:ascii="Times New Roman" w:hAnsi="Times New Roman" w:cs="Times New Roman"/>
        </w:rPr>
      </w:pPr>
      <w:r>
        <w:rPr>
          <w:rFonts w:hint="default" w:ascii="Times New Roman" w:hAnsi="Times New Roman" w:cs="Times New Roman"/>
        </w:rPr>
        <w:t>Spatial Relation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The spatial relation between a reference RS and the target SRS is configured in </w:t>
      </w:r>
      <w:r>
        <w:rPr>
          <w:rFonts w:hint="default" w:ascii="Times New Roman" w:hAnsi="Times New Roman" w:cs="Times New Roman"/>
          <w:i/>
          <w:iCs/>
          <w:sz w:val="20"/>
          <w:szCs w:val="20"/>
        </w:rPr>
        <w:t>SRS-SpatialRelationInfoPos</w:t>
      </w:r>
      <w:r>
        <w:rPr>
          <w:rFonts w:hint="default" w:ascii="Times New Roman" w:hAnsi="Times New Roman" w:cs="Times New Roman"/>
          <w:sz w:val="20"/>
          <w:szCs w:val="20"/>
        </w:rPr>
        <w:t xml:space="preserve">. UE shall transmit the target SRS resource(s) within the SRS resource set according to the spatial relation. In current </w:t>
      </w:r>
      <w:r>
        <w:rPr>
          <w:rFonts w:hint="default" w:ascii="Times New Roman" w:hAnsi="Times New Roman" w:cs="Times New Roman"/>
          <w:i/>
          <w:iCs/>
          <w:sz w:val="20"/>
          <w:szCs w:val="20"/>
        </w:rPr>
        <w:t>SpatialRelationInfoPos</w:t>
      </w:r>
      <w:r>
        <w:rPr>
          <w:rFonts w:hint="default" w:ascii="Times New Roman" w:hAnsi="Times New Roman" w:cs="Times New Roman"/>
          <w:sz w:val="20"/>
          <w:szCs w:val="20"/>
        </w:rPr>
        <w:t xml:space="preserve"> IE, the spatial relation could be SSB/CSI-RS/SRS in the serving cell or SSB/PRS of the neighbor cell. When the UE moves to a new cell, the current spatial relation may be invalid. As </w:t>
      </w:r>
      <w:r>
        <w:rPr>
          <w:rFonts w:hint="default" w:ascii="Times New Roman" w:hAnsi="Times New Roman" w:cs="Times New Roman"/>
          <w:sz w:val="20"/>
          <w:szCs w:val="20"/>
        </w:rPr>
        <w:t xml:space="preserve">shown 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_Ref16146 \h </w:instrText>
      </w:r>
      <w:r>
        <w:rPr>
          <w:rFonts w:hint="default" w:ascii="Times New Roman" w:hAnsi="Times New Roman" w:cs="Times New Roman"/>
          <w:sz w:val="20"/>
          <w:szCs w:val="20"/>
        </w:rPr>
        <w:fldChar w:fldCharType="separate"/>
      </w:r>
      <w:r>
        <w:rPr>
          <w:rFonts w:hint="default" w:ascii="Times New Roman" w:hAnsi="Times New Roman" w:cs="Times New Roman"/>
          <w:b w:val="0"/>
          <w:bCs w:val="0"/>
          <w:sz w:val="20"/>
          <w:szCs w:val="20"/>
        </w:rPr>
        <w:t>Figure 3</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w:t>
      </w:r>
      <w:r>
        <w:rPr>
          <w:rFonts w:hint="default" w:ascii="Times New Roman" w:hAnsi="Times New Roman" w:cs="Times New Roman"/>
          <w:sz w:val="20"/>
          <w:szCs w:val="20"/>
        </w:rPr>
        <w:t>UE may receive spatial relation configuration from its serving cell before movement, and the SRS can be transmitted with the configured beam direction. If UE move to another cell but the spatial relation remains unchanged, the transmitted SRS cannot be detected by the receiver. Hence, we have the following observation</w:t>
      </w:r>
      <w:r>
        <w:rPr>
          <w:rFonts w:hint="default" w:ascii="Times New Roman" w:hAnsi="Times New Roman" w:cs="Times New Roman"/>
          <w:sz w:val="20"/>
          <w:szCs w:val="20"/>
          <w:lang w:val="en-US" w:eastAsia="zh-CN"/>
        </w:rPr>
        <w:t xml:space="preserve"> and proposal</w:t>
      </w:r>
      <w:r>
        <w:rPr>
          <w:rFonts w:hint="default" w:ascii="Times New Roman" w:hAnsi="Times New Roman" w:cs="Times New Roman"/>
          <w:sz w:val="20"/>
          <w:szCs w:val="20"/>
        </w:rPr>
        <w:t>:</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3283585" cy="1684020"/>
            <wp:effectExtent l="0" t="0" r="12065" b="11430"/>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0"/>
                    <a:stretch>
                      <a:fillRect/>
                    </a:stretch>
                  </pic:blipFill>
                  <pic:spPr>
                    <a:xfrm>
                      <a:off x="0" y="0"/>
                      <a:ext cx="3283585" cy="1684020"/>
                    </a:xfrm>
                    <a:prstGeom prst="rect">
                      <a:avLst/>
                    </a:prstGeom>
                    <a:noFill/>
                    <a:ln>
                      <a:noFill/>
                    </a:ln>
                  </pic:spPr>
                </pic:pic>
              </a:graphicData>
            </a:graphic>
          </wp:inline>
        </w:drawing>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center"/>
        <w:textAlignment w:val="auto"/>
        <w:rPr>
          <w:rFonts w:hint="default" w:ascii="Times New Roman" w:hAnsi="Times New Roman" w:cs="Times New Roman"/>
          <w:b w:val="0"/>
          <w:bCs w:val="0"/>
          <w:lang w:val="en-US" w:eastAsia="zh-CN"/>
        </w:rPr>
      </w:pPr>
      <w:bookmarkStart w:id="18" w:name="_Ref16146"/>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3</w:t>
      </w:r>
      <w:r>
        <w:rPr>
          <w:rFonts w:hint="default" w:ascii="Times New Roman" w:hAnsi="Times New Roman" w:cs="Times New Roman"/>
          <w:b w:val="0"/>
          <w:bCs w:val="0"/>
        </w:rPr>
        <w:fldChar w:fldCharType="end"/>
      </w:r>
      <w:bookmarkEnd w:id="18"/>
      <w:r>
        <w:rPr>
          <w:rFonts w:hint="default" w:ascii="Times New Roman" w:hAnsi="Times New Roman" w:cs="Times New Roman"/>
          <w:b w:val="0"/>
          <w:bCs w:val="0"/>
          <w:lang w:val="en-US" w:eastAsia="zh-CN"/>
        </w:rPr>
        <w:t xml:space="preserve"> Example for spatial relation difference in SRS transmission</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i/>
          <w:iCs/>
          <w:lang w:val="en-US" w:eastAsia="zh-CN"/>
        </w:rPr>
      </w:pPr>
      <w:bookmarkStart w:id="19" w:name="_Ref16799"/>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5</w:t>
      </w:r>
      <w:r>
        <w:rPr>
          <w:rFonts w:hint="default" w:ascii="Times New Roman" w:hAnsi="Times New Roman" w:cs="Times New Roman"/>
          <w:i/>
          <w:iCs/>
        </w:rPr>
        <w:fldChar w:fldCharType="end"/>
      </w:r>
      <w:r>
        <w:rPr>
          <w:rFonts w:hint="default" w:ascii="Times New Roman" w:hAnsi="Times New Roman" w:cs="Times New Roman"/>
          <w:i/>
          <w:iCs/>
          <w:lang w:val="en-US" w:eastAsia="zh-CN"/>
        </w:rPr>
        <w:t>: S</w:t>
      </w:r>
      <w:r>
        <w:rPr>
          <w:rFonts w:hint="default" w:ascii="Times New Roman" w:hAnsi="Times New Roman" w:cs="Times New Roman"/>
          <w:i/>
          <w:iCs/>
          <w:lang w:val="en-US" w:eastAsia="ko-KR"/>
        </w:rPr>
        <w:t>patial relation information</w:t>
      </w:r>
      <w:r>
        <w:rPr>
          <w:rFonts w:hint="default" w:ascii="Times New Roman" w:hAnsi="Times New Roman" w:cs="Times New Roman"/>
          <w:i/>
          <w:iCs/>
          <w:lang w:val="en-US" w:eastAsia="zh-CN"/>
        </w:rPr>
        <w:t xml:space="preserve"> configured by the last serving gNB is invalid when UE camps on a new cell.</w:t>
      </w:r>
      <w:bookmarkEnd w:id="19"/>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i/>
          <w:iCs/>
          <w:lang w:val="en-US" w:eastAsia="zh-CN"/>
        </w:rPr>
      </w:pPr>
      <w:bookmarkStart w:id="20" w:name="_Ref21731"/>
      <w:r>
        <w:rPr>
          <w:rFonts w:hint="default" w:ascii="Times New Roman" w:hAnsi="Times New Roman" w:cs="Times New Roman"/>
          <w:b/>
          <w:bCs/>
          <w:i/>
          <w:iCs/>
          <w:sz w:val="20"/>
          <w:szCs w:val="20"/>
        </w:rPr>
        <w:t xml:space="preserve">Proposal </w:t>
      </w:r>
      <w:r>
        <w:rPr>
          <w:rFonts w:hint="default" w:ascii="Times New Roman" w:hAnsi="Times New Roman" w:cs="Times New Roman"/>
          <w:b/>
          <w:bCs/>
          <w:i/>
          <w:iCs/>
          <w:sz w:val="20"/>
          <w:szCs w:val="20"/>
        </w:rPr>
        <w:fldChar w:fldCharType="begin"/>
      </w:r>
      <w:r>
        <w:rPr>
          <w:rFonts w:hint="default" w:ascii="Times New Roman" w:hAnsi="Times New Roman" w:cs="Times New Roman"/>
          <w:b/>
          <w:bCs/>
          <w:i/>
          <w:iCs/>
          <w:sz w:val="20"/>
          <w:szCs w:val="20"/>
        </w:rPr>
        <w:instrText xml:space="preserve"> SEQ Proposal \* ARABIC </w:instrText>
      </w:r>
      <w:r>
        <w:rPr>
          <w:rFonts w:hint="default" w:ascii="Times New Roman" w:hAnsi="Times New Roman" w:cs="Times New Roman"/>
          <w:b/>
          <w:bCs/>
          <w:i/>
          <w:iCs/>
          <w:sz w:val="20"/>
          <w:szCs w:val="20"/>
        </w:rPr>
        <w:fldChar w:fldCharType="separate"/>
      </w:r>
      <w:r>
        <w:rPr>
          <w:rFonts w:hint="default" w:ascii="Times New Roman" w:hAnsi="Times New Roman" w:cs="Times New Roman"/>
          <w:b/>
          <w:bCs/>
          <w:i/>
          <w:iCs/>
          <w:sz w:val="20"/>
          <w:szCs w:val="20"/>
        </w:rPr>
        <w:t>4</w:t>
      </w:r>
      <w:r>
        <w:rPr>
          <w:rFonts w:hint="default" w:ascii="Times New Roman" w:hAnsi="Times New Roman" w:cs="Times New Roman"/>
          <w:b/>
          <w:bCs/>
          <w:i/>
          <w:iCs/>
          <w:sz w:val="20"/>
          <w:szCs w:val="20"/>
        </w:rPr>
        <w:fldChar w:fldCharType="end"/>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i/>
          <w:iCs/>
          <w:lang w:val="en-US" w:eastAsia="zh-CN"/>
        </w:rPr>
        <w:t>Serving cell can configure spatial relation for each cell and UE can automatically use the corresponding spatial relation of a new cell when it camps on the new cell within the validity area.</w:t>
      </w:r>
      <w:bookmarkEnd w:id="20"/>
    </w:p>
    <w:p>
      <w:pPr>
        <w:pStyle w:val="4"/>
        <w:ind w:firstLine="241"/>
        <w:jc w:val="both"/>
        <w:rPr>
          <w:rFonts w:hint="default" w:ascii="Times New Roman" w:hAnsi="Times New Roman" w:cs="Times New Roman"/>
        </w:rPr>
      </w:pPr>
      <w:r>
        <w:rPr>
          <w:rFonts w:hint="default" w:ascii="Times New Roman" w:hAnsi="Times New Roman" w:cs="Times New Roman"/>
        </w:rPr>
        <w:t>Other parameters</w:t>
      </w:r>
    </w:p>
    <w:p>
      <w:pPr>
        <w:keepNext w:val="0"/>
        <w:keepLines w:val="0"/>
        <w:pageBreakBefore w:val="0"/>
        <w:widowControl/>
        <w:kinsoku/>
        <w:wordWrap/>
        <w:overflowPunct/>
        <w:topLinePunct w:val="0"/>
        <w:autoSpaceDE/>
        <w:autoSpaceDN/>
        <w:bidi w:val="0"/>
        <w:adjustRightInd w:val="0"/>
        <w:snapToGrid w:val="0"/>
        <w:spacing w:before="181" w:beforeLines="50" w:after="180" w:afterLines="50" w:line="240" w:lineRule="auto"/>
        <w:jc w:val="both"/>
        <w:textAlignment w:val="auto"/>
        <w:rPr>
          <w:rFonts w:hint="default" w:ascii="Times New Roman" w:hAnsi="Times New Roman" w:cs="Times New Roman" w:eastAsiaTheme="minorEastAsia"/>
          <w:sz w:val="20"/>
          <w:szCs w:val="20"/>
          <w:lang w:val="en-US" w:eastAsia="zh-CN"/>
        </w:rPr>
      </w:pPr>
      <w:r>
        <w:rPr>
          <w:rFonts w:hint="default" w:ascii="Times New Roman" w:hAnsi="Times New Roman" w:cs="Times New Roman"/>
          <w:sz w:val="20"/>
          <w:szCs w:val="20"/>
        </w:rPr>
        <w:t xml:space="preserve">Based on the description above, as </w:t>
      </w:r>
      <w:r>
        <w:rPr>
          <w:rFonts w:hint="default" w:ascii="Times New Roman" w:hAnsi="Times New Roman" w:cs="Times New Roman"/>
          <w:sz w:val="20"/>
          <w:szCs w:val="20"/>
        </w:rPr>
        <w:t xml:space="preserve">shown 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_Ref19369 \h </w:instrText>
      </w:r>
      <w:r>
        <w:rPr>
          <w:rFonts w:hint="default" w:ascii="Times New Roman" w:hAnsi="Times New Roman" w:cs="Times New Roman"/>
          <w:sz w:val="20"/>
          <w:szCs w:val="20"/>
        </w:rPr>
        <w:fldChar w:fldCharType="separate"/>
      </w:r>
      <w:r>
        <w:rPr>
          <w:rFonts w:hint="default" w:ascii="Times New Roman" w:hAnsi="Times New Roman" w:cs="Times New Roman"/>
          <w:b w:val="0"/>
          <w:bCs w:val="0"/>
          <w:sz w:val="20"/>
          <w:szCs w:val="20"/>
        </w:rPr>
        <w:t>Figure 4</w:t>
      </w:r>
      <w:r>
        <w:rPr>
          <w:rFonts w:hint="default" w:ascii="Times New Roman" w:hAnsi="Times New Roman" w:cs="Times New Roman"/>
          <w:sz w:val="20"/>
          <w:szCs w:val="20"/>
        </w:rPr>
        <w:fldChar w:fldCharType="end"/>
      </w:r>
      <w:r>
        <w:rPr>
          <w:rFonts w:hint="default" w:ascii="Times New Roman" w:hAnsi="Times New Roman" w:cs="Times New Roman"/>
          <w:sz w:val="20"/>
          <w:szCs w:val="20"/>
        </w:rPr>
        <w:t xml:space="preserve">, there are multiple parameters cannot be adopted in multiple cells for SRS transmission, include </w:t>
      </w:r>
      <w:r>
        <w:rPr>
          <w:rFonts w:hint="default" w:ascii="Times New Roman" w:hAnsi="Times New Roman" w:cs="Times New Roman"/>
          <w:i/>
          <w:iCs/>
          <w:sz w:val="20"/>
          <w:szCs w:val="20"/>
        </w:rPr>
        <w:t>p0</w:t>
      </w:r>
      <w:r>
        <w:rPr>
          <w:rFonts w:hint="default" w:ascii="Times New Roman" w:hAnsi="Times New Roman" w:cs="Times New Roman"/>
          <w:sz w:val="20"/>
          <w:szCs w:val="20"/>
        </w:rPr>
        <w:t xml:space="preserve">, </w:t>
      </w:r>
      <w:r>
        <w:rPr>
          <w:rFonts w:hint="default" w:ascii="Times New Roman" w:hAnsi="Times New Roman" w:cs="Times New Roman"/>
          <w:i/>
          <w:iCs/>
          <w:sz w:val="20"/>
          <w:szCs w:val="20"/>
        </w:rPr>
        <w:t>alpha</w:t>
      </w:r>
      <w:r>
        <w:rPr>
          <w:rFonts w:hint="default" w:ascii="Times New Roman" w:hAnsi="Times New Roman" w:cs="Times New Roman"/>
          <w:sz w:val="20"/>
          <w:szCs w:val="20"/>
        </w:rPr>
        <w:t>, pathloss reference and</w:t>
      </w:r>
      <w:r>
        <w:rPr>
          <w:rFonts w:hint="default" w:ascii="Times New Roman" w:hAnsi="Times New Roman" w:cs="Times New Roman"/>
          <w:sz w:val="20"/>
          <w:szCs w:val="20"/>
        </w:rPr>
        <w:t xml:space="preserve"> spatial relation. </w:t>
      </w:r>
      <w:r>
        <w:rPr>
          <w:rFonts w:hint="default" w:ascii="Times New Roman" w:hAnsi="Times New Roman" w:cs="Times New Roman"/>
          <w:sz w:val="20"/>
          <w:szCs w:val="20"/>
          <w:lang w:val="en-US" w:eastAsia="zh-CN"/>
        </w:rPr>
        <w:t xml:space="preserve">Other parameters (as specified in </w:t>
      </w:r>
      <w:r>
        <w:rPr>
          <w:rFonts w:hint="default" w:ascii="Times New Roman" w:hAnsi="Times New Roman" w:cs="Times New Roman"/>
          <w:i/>
          <w:iCs/>
          <w:sz w:val="20"/>
          <w:szCs w:val="20"/>
          <w:lang w:val="en-US" w:eastAsia="zh-CN"/>
        </w:rPr>
        <w:t>common parameters</w:t>
      </w:r>
      <w:r>
        <w:rPr>
          <w:rFonts w:hint="default" w:ascii="Times New Roman" w:hAnsi="Times New Roman" w:cs="Times New Roman"/>
          <w:sz w:val="20"/>
          <w:szCs w:val="20"/>
          <w:lang w:val="en-US" w:eastAsia="zh-CN"/>
        </w:rPr>
        <w:t xml:space="preserve">) can be shared across multiple cells within the validity area. </w:t>
      </w:r>
    </w:p>
    <w:p>
      <w:pPr>
        <w:keepNext w:val="0"/>
        <w:keepLines w:val="0"/>
        <w:pageBreakBefore w:val="0"/>
        <w:widowControl/>
        <w:kinsoku/>
        <w:wordWrap/>
        <w:overflowPunct/>
        <w:topLinePunct w:val="0"/>
        <w:autoSpaceDE/>
        <w:autoSpaceDN/>
        <w:bidi w:val="0"/>
        <w:adjustRightInd w:val="0"/>
        <w:snapToGrid w:val="0"/>
        <w:spacing w:before="181" w:beforeLines="50" w:after="180" w:afterLines="50" w:line="24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4559300" cy="2108835"/>
            <wp:effectExtent l="0" t="0" r="1270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4559300" cy="2108835"/>
                    </a:xfrm>
                    <a:prstGeom prst="rect">
                      <a:avLst/>
                    </a:prstGeom>
                    <a:noFill/>
                    <a:ln>
                      <a:noFill/>
                    </a:ln>
                  </pic:spPr>
                </pic:pic>
              </a:graphicData>
            </a:graphic>
          </wp:inline>
        </w:drawing>
      </w:r>
    </w:p>
    <w:p>
      <w:pPr>
        <w:pStyle w:val="15"/>
        <w:keepNext w:val="0"/>
        <w:keepLines w:val="0"/>
        <w:pageBreakBefore w:val="0"/>
        <w:widowControl/>
        <w:kinsoku/>
        <w:wordWrap/>
        <w:overflowPunct/>
        <w:topLinePunct w:val="0"/>
        <w:autoSpaceDE/>
        <w:autoSpaceDN/>
        <w:bidi w:val="0"/>
        <w:adjustRightInd w:val="0"/>
        <w:snapToGrid w:val="0"/>
        <w:spacing w:before="181" w:beforeLines="50" w:after="180" w:afterLines="50" w:line="240" w:lineRule="auto"/>
        <w:jc w:val="center"/>
        <w:textAlignment w:val="auto"/>
        <w:rPr>
          <w:rFonts w:hint="default" w:ascii="Times New Roman" w:hAnsi="Times New Roman" w:cs="Times New Roman"/>
          <w:b w:val="0"/>
          <w:bCs w:val="0"/>
          <w:lang w:val="en-US" w:eastAsia="zh-CN"/>
        </w:rPr>
      </w:pPr>
      <w:bookmarkStart w:id="21" w:name="_Ref19369"/>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4</w:t>
      </w:r>
      <w:r>
        <w:rPr>
          <w:rFonts w:hint="default" w:ascii="Times New Roman" w:hAnsi="Times New Roman" w:cs="Times New Roman"/>
          <w:b w:val="0"/>
          <w:bCs w:val="0"/>
        </w:rPr>
        <w:fldChar w:fldCharType="end"/>
      </w:r>
      <w:bookmarkEnd w:id="21"/>
      <w:r>
        <w:rPr>
          <w:rFonts w:hint="default" w:ascii="Times New Roman" w:hAnsi="Times New Roman" w:cs="Times New Roman"/>
          <w:b w:val="0"/>
          <w:bCs w:val="0"/>
          <w:lang w:val="en-US" w:eastAsia="zh-CN"/>
        </w:rPr>
        <w:t xml:space="preserve"> SRS configuration parameters feature</w:t>
      </w:r>
    </w:p>
    <w:p>
      <w:pPr>
        <w:pStyle w:val="3"/>
        <w:snapToGrid w:val="0"/>
        <w:spacing w:line="240" w:lineRule="auto"/>
        <w:jc w:val="both"/>
        <w:rPr>
          <w:rFonts w:hint="default" w:ascii="Times New Roman" w:hAnsi="Times New Roman" w:cs="Times New Roman"/>
          <w:b/>
          <w:sz w:val="24"/>
          <w:szCs w:val="24"/>
        </w:rPr>
      </w:pPr>
      <w:bookmarkStart w:id="22" w:name="_Ref8668"/>
      <w:r>
        <w:rPr>
          <w:rFonts w:hint="default" w:ascii="Times New Roman" w:hAnsi="Times New Roman" w:cs="Times New Roman"/>
          <w:b/>
          <w:sz w:val="24"/>
          <w:szCs w:val="24"/>
        </w:rPr>
        <w:t>SRS pre-configuration</w:t>
      </w:r>
      <w:bookmarkEnd w:id="22"/>
    </w:p>
    <w:p>
      <w:pPr>
        <w:keepNext w:val="0"/>
        <w:keepLines w:val="0"/>
        <w:pageBreakBefore w:val="0"/>
        <w:widowControl/>
        <w:kinsoku/>
        <w:wordWrap/>
        <w:overflowPunct/>
        <w:topLinePunct w:val="0"/>
        <w:bidi w:val="0"/>
        <w:adjustRightInd w:val="0"/>
        <w:snapToGrid w:val="0"/>
        <w:spacing w:before="181" w:beforeLines="50" w:after="180"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UE has to enter RRC_CONNECTED state when receiving SRS configuration. To avoid frequent state transition, p</w:t>
      </w:r>
      <w:r>
        <w:rPr>
          <w:rFonts w:hint="default" w:ascii="Times New Roman" w:hAnsi="Times New Roman" w:cs="Times New Roman"/>
          <w:sz w:val="20"/>
          <w:szCs w:val="20"/>
          <w:lang w:eastAsia="ko-KR"/>
        </w:rPr>
        <w:t>re-configuration of one or multiple SRS for positioning configurations</w:t>
      </w:r>
      <w:r>
        <w:rPr>
          <w:rFonts w:hint="default" w:ascii="Times New Roman" w:hAnsi="Times New Roman" w:cs="Times New Roman"/>
          <w:sz w:val="20"/>
          <w:szCs w:val="20"/>
        </w:rPr>
        <w:t xml:space="preserve"> is proposed for power saving purpose. In SRS pre-configuration procedure, UE should be configured with a SRS pre-configuration list specifying the explicit SRS configuration for multiple cells. When camps on a new cell, UE will adopt the SRS configuration of new cell and transmits corresponding SRS. In this way, UE has to enter RRC_CONNECTED state only when move across different validity areas.</w:t>
      </w:r>
    </w:p>
    <w:p>
      <w:pPr>
        <w:keepNext w:val="0"/>
        <w:keepLines w:val="0"/>
        <w:pageBreakBefore w:val="0"/>
        <w:widowControl/>
        <w:kinsoku/>
        <w:wordWrap/>
        <w:overflowPunct/>
        <w:topLinePunct w:val="0"/>
        <w:bidi w:val="0"/>
        <w:adjustRightInd w:val="0"/>
        <w:snapToGrid w:val="0"/>
        <w:spacing w:before="181" w:beforeLines="50" w:after="18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rPr>
        <w:t xml:space="preserve">As shown </w:t>
      </w:r>
      <w:r>
        <w:rPr>
          <w:rFonts w:hint="default" w:ascii="Times New Roman" w:hAnsi="Times New Roman" w:cs="Times New Roman"/>
          <w:sz w:val="20"/>
          <w:szCs w:val="20"/>
        </w:rPr>
        <w:t xml:space="preserve">in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_Ref16460 \h </w:instrText>
      </w:r>
      <w:r>
        <w:rPr>
          <w:rFonts w:hint="default" w:ascii="Times New Roman" w:hAnsi="Times New Roman" w:cs="Times New Roman"/>
          <w:sz w:val="20"/>
          <w:szCs w:val="20"/>
        </w:rPr>
        <w:fldChar w:fldCharType="separate"/>
      </w:r>
      <w:r>
        <w:rPr>
          <w:rFonts w:hint="default" w:ascii="Times New Roman" w:hAnsi="Times New Roman" w:cs="Times New Roman"/>
          <w:b w:val="0"/>
          <w:bCs w:val="0"/>
          <w:sz w:val="20"/>
          <w:szCs w:val="20"/>
        </w:rPr>
        <w:t>Figure 5</w:t>
      </w:r>
      <w:r>
        <w:rPr>
          <w:rFonts w:hint="default" w:ascii="Times New Roman" w:hAnsi="Times New Roman" w:cs="Times New Roman"/>
          <w:sz w:val="20"/>
          <w:szCs w:val="20"/>
        </w:rPr>
        <w:fldChar w:fldCharType="end"/>
      </w:r>
      <w:r>
        <w:rPr>
          <w:rFonts w:hint="default" w:ascii="Times New Roman" w:hAnsi="Times New Roman" w:cs="Times New Roman"/>
          <w:sz w:val="20"/>
          <w:szCs w:val="20"/>
        </w:rPr>
        <w:t>, suppose that a SR</w:t>
      </w:r>
      <w:r>
        <w:rPr>
          <w:rFonts w:hint="default" w:ascii="Times New Roman" w:hAnsi="Times New Roman" w:cs="Times New Roman"/>
          <w:sz w:val="20"/>
          <w:szCs w:val="20"/>
        </w:rPr>
        <w:t>S configuration validity area consist of 6 cells, and UE is within the coverage of cell 1 in the initial state. To transmit SRS, UE will enter RRC_CONNECTED state in cell 1 to get the SRS configuration parameters within the validity area. And UE will transmit SRS using SRS pre-configuration parameters of cell 1. When it moves to a new camp cell, UE will transmit SRS using the SRS pre-configuration parameters in cell 2. And if UE moves to the third cell, i.e., cell 5, SRS is transmitted with pre-configured parameters using cell 5 configuration. In these cell re-selection procedures, UE can transmit SRS avoiding enter RRC_CONNECTED state.</w:t>
      </w:r>
      <w:r>
        <w:rPr>
          <w:rFonts w:hint="default" w:ascii="Times New Roman" w:hAnsi="Times New Roman" w:cs="Times New Roman"/>
          <w:sz w:val="20"/>
          <w:szCs w:val="20"/>
          <w:lang w:val="en-US" w:eastAsia="zh-CN"/>
        </w:rPr>
        <w:t xml:space="preserve"> For the configurations </w:t>
      </w:r>
      <w:r>
        <w:rPr>
          <w:rFonts w:hint="default" w:ascii="Times New Roman" w:hAnsi="Times New Roman" w:cs="Times New Roman"/>
          <w:sz w:val="20"/>
          <w:szCs w:val="20"/>
        </w:rPr>
        <w:t>cannot be adopted in multiple cells for SRS transmission</w:t>
      </w:r>
      <w:r>
        <w:rPr>
          <w:rFonts w:hint="default" w:ascii="Times New Roman" w:hAnsi="Times New Roman" w:cs="Times New Roman"/>
          <w:sz w:val="20"/>
          <w:szCs w:val="20"/>
          <w:lang w:val="en-US" w:eastAsia="zh-CN"/>
        </w:rPr>
        <w:t xml:space="preserve"> as discussed in 2.1, last serving gNB can pre-configure these parameters in a list, and UE can automatically adopt the corresponding configuration of a new cell when it camps on the new cell within the validity area.</w:t>
      </w:r>
    </w:p>
    <w:p>
      <w:pPr>
        <w:keepNext w:val="0"/>
        <w:keepLines w:val="0"/>
        <w:pageBreakBefore w:val="0"/>
        <w:widowControl/>
        <w:kinsoku/>
        <w:wordWrap/>
        <w:overflowPunct/>
        <w:topLinePunct w:val="0"/>
        <w:bidi w:val="0"/>
        <w:adjustRightInd w:val="0"/>
        <w:snapToGrid w:val="0"/>
        <w:spacing w:before="181" w:beforeLines="50" w:after="180" w:afterLines="50" w:line="240" w:lineRule="auto"/>
        <w:jc w:val="center"/>
        <w:textAlignment w:val="auto"/>
        <w:rPr>
          <w:rFonts w:hint="default" w:ascii="Times New Roman" w:hAnsi="Times New Roman" w:cs="Times New Roman"/>
        </w:rPr>
      </w:pPr>
      <w:r>
        <w:rPr>
          <w:rFonts w:hint="default" w:ascii="Times New Roman" w:hAnsi="Times New Roman" w:cs="Times New Roman"/>
        </w:rPr>
        <w:drawing>
          <wp:inline distT="0" distB="0" distL="114300" distR="114300">
            <wp:extent cx="3816985" cy="2244725"/>
            <wp:effectExtent l="0" t="0" r="1206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3816985" cy="2244725"/>
                    </a:xfrm>
                    <a:prstGeom prst="rect">
                      <a:avLst/>
                    </a:prstGeom>
                    <a:noFill/>
                    <a:ln>
                      <a:noFill/>
                    </a:ln>
                  </pic:spPr>
                </pic:pic>
              </a:graphicData>
            </a:graphic>
          </wp:inline>
        </w:drawing>
      </w:r>
    </w:p>
    <w:p>
      <w:pPr>
        <w:pStyle w:val="15"/>
        <w:keepNext w:val="0"/>
        <w:keepLines w:val="0"/>
        <w:pageBreakBefore w:val="0"/>
        <w:widowControl/>
        <w:kinsoku/>
        <w:wordWrap/>
        <w:overflowPunct/>
        <w:topLinePunct w:val="0"/>
        <w:bidi w:val="0"/>
        <w:adjustRightInd w:val="0"/>
        <w:snapToGrid w:val="0"/>
        <w:spacing w:before="181" w:beforeLines="50" w:after="180" w:afterLines="50" w:line="240" w:lineRule="auto"/>
        <w:jc w:val="center"/>
        <w:textAlignment w:val="auto"/>
        <w:rPr>
          <w:rFonts w:hint="default" w:ascii="Times New Roman" w:hAnsi="Times New Roman" w:cs="Times New Roman"/>
          <w:b w:val="0"/>
          <w:bCs w:val="0"/>
          <w:lang w:val="en-US" w:eastAsia="zh-CN"/>
        </w:rPr>
      </w:pPr>
      <w:bookmarkStart w:id="23" w:name="_Ref16460"/>
      <w:r>
        <w:rPr>
          <w:rFonts w:hint="default" w:ascii="Times New Roman" w:hAnsi="Times New Roman" w:cs="Times New Roman"/>
          <w:b w:val="0"/>
          <w:bCs w:val="0"/>
        </w:rPr>
        <w:t xml:space="preserve">Figure </w:t>
      </w:r>
      <w:r>
        <w:rPr>
          <w:rFonts w:hint="default" w:ascii="Times New Roman" w:hAnsi="Times New Roman" w:cs="Times New Roman"/>
          <w:b w:val="0"/>
          <w:bCs w:val="0"/>
        </w:rPr>
        <w:fldChar w:fldCharType="begin"/>
      </w:r>
      <w:r>
        <w:rPr>
          <w:rFonts w:hint="default" w:ascii="Times New Roman" w:hAnsi="Times New Roman" w:cs="Times New Roman"/>
          <w:b w:val="0"/>
          <w:bCs w:val="0"/>
        </w:rPr>
        <w:instrText xml:space="preserve"> SEQ Figure \* ARABIC </w:instrText>
      </w:r>
      <w:r>
        <w:rPr>
          <w:rFonts w:hint="default" w:ascii="Times New Roman" w:hAnsi="Times New Roman" w:cs="Times New Roman"/>
          <w:b w:val="0"/>
          <w:bCs w:val="0"/>
        </w:rPr>
        <w:fldChar w:fldCharType="separate"/>
      </w:r>
      <w:r>
        <w:rPr>
          <w:rFonts w:hint="default" w:ascii="Times New Roman" w:hAnsi="Times New Roman" w:cs="Times New Roman"/>
          <w:b w:val="0"/>
          <w:bCs w:val="0"/>
        </w:rPr>
        <w:t>5</w:t>
      </w:r>
      <w:r>
        <w:rPr>
          <w:rFonts w:hint="default" w:ascii="Times New Roman" w:hAnsi="Times New Roman" w:cs="Times New Roman"/>
          <w:b w:val="0"/>
          <w:bCs w:val="0"/>
        </w:rPr>
        <w:fldChar w:fldCharType="end"/>
      </w:r>
      <w:bookmarkEnd w:id="23"/>
      <w:r>
        <w:rPr>
          <w:rFonts w:hint="default" w:ascii="Times New Roman" w:hAnsi="Times New Roman" w:cs="Times New Roman"/>
          <w:b w:val="0"/>
          <w:bCs w:val="0"/>
          <w:lang w:val="en-US" w:eastAsia="zh-CN"/>
        </w:rPr>
        <w:t xml:space="preserve"> Example for SRS transmission details while adopting SRS pre-configuration</w:t>
      </w:r>
    </w:p>
    <w:p>
      <w:pPr>
        <w:pStyle w:val="15"/>
        <w:keepNext w:val="0"/>
        <w:keepLines w:val="0"/>
        <w:pageBreakBefore w:val="0"/>
        <w:widowControl/>
        <w:kinsoku/>
        <w:wordWrap/>
        <w:overflowPunct/>
        <w:topLinePunct w:val="0"/>
        <w:autoSpaceDE w:val="0"/>
        <w:autoSpaceDN w:val="0"/>
        <w:bidi w:val="0"/>
        <w:adjustRightInd w:val="0"/>
        <w:snapToGrid w:val="0"/>
        <w:spacing w:before="181" w:beforeLines="50" w:after="180" w:afterLines="50" w:line="240" w:lineRule="auto"/>
        <w:jc w:val="both"/>
        <w:textAlignment w:val="auto"/>
        <w:rPr>
          <w:rFonts w:hint="default" w:ascii="Times New Roman" w:hAnsi="Times New Roman" w:cs="Times New Roman"/>
          <w:i/>
          <w:iCs/>
          <w:lang w:val="en-US" w:eastAsia="zh-CN"/>
        </w:rPr>
      </w:pPr>
      <w:bookmarkStart w:id="24" w:name="_Ref16829"/>
      <w:r>
        <w:rPr>
          <w:rFonts w:hint="default" w:ascii="Times New Roman" w:hAnsi="Times New Roman" w:cs="Times New Roman"/>
          <w:i/>
          <w:iCs/>
        </w:rPr>
        <w:t xml:space="preserve">Proposal </w:t>
      </w:r>
      <w:r>
        <w:rPr>
          <w:rFonts w:hint="default" w:ascii="Times New Roman" w:hAnsi="Times New Roman" w:cs="Times New Roman"/>
          <w:i/>
          <w:iCs/>
        </w:rPr>
        <w:fldChar w:fldCharType="begin"/>
      </w:r>
      <w:r>
        <w:rPr>
          <w:rFonts w:hint="default" w:ascii="Times New Roman" w:hAnsi="Times New Roman" w:cs="Times New Roman"/>
          <w:i/>
          <w:iCs/>
        </w:rPr>
        <w:instrText xml:space="preserve"> SEQ Proposal \* ARABIC </w:instrText>
      </w:r>
      <w:r>
        <w:rPr>
          <w:rFonts w:hint="default" w:ascii="Times New Roman" w:hAnsi="Times New Roman" w:cs="Times New Roman"/>
          <w:i/>
          <w:iCs/>
        </w:rPr>
        <w:fldChar w:fldCharType="separate"/>
      </w:r>
      <w:r>
        <w:rPr>
          <w:rFonts w:hint="default" w:ascii="Times New Roman" w:hAnsi="Times New Roman" w:cs="Times New Roman"/>
          <w:i/>
          <w:iCs/>
        </w:rPr>
        <w:t>5</w:t>
      </w:r>
      <w:r>
        <w:rPr>
          <w:rFonts w:hint="default" w:ascii="Times New Roman" w:hAnsi="Times New Roman" w:cs="Times New Roman"/>
          <w:i/>
          <w:iCs/>
        </w:rPr>
        <w:fldChar w:fldCharType="end"/>
      </w:r>
      <w:r>
        <w:rPr>
          <w:rFonts w:hint="default" w:ascii="Times New Roman" w:hAnsi="Times New Roman" w:cs="Times New Roman"/>
          <w:i/>
          <w:iCs/>
          <w:lang w:val="en-US" w:eastAsia="zh-CN"/>
        </w:rPr>
        <w:t>: Support SRS pre-configuration based on SRS positioning validity area to avoid frequent RRC connection for SRS (re)configuration.</w:t>
      </w:r>
      <w:bookmarkEnd w:id="24"/>
    </w:p>
    <w:p>
      <w:pPr>
        <w:pStyle w:val="3"/>
        <w:snapToGrid w:val="0"/>
        <w:spacing w:line="240" w:lineRule="auto"/>
        <w:jc w:val="both"/>
        <w:rPr>
          <w:rFonts w:hint="default" w:ascii="Times New Roman" w:hAnsi="Times New Roman" w:cs="Times New Roman"/>
          <w:b/>
          <w:sz w:val="24"/>
          <w:szCs w:val="24"/>
          <w:lang w:eastAsia="ko-KR"/>
        </w:rPr>
      </w:pPr>
      <w:r>
        <w:rPr>
          <w:rFonts w:hint="default" w:ascii="Times New Roman" w:hAnsi="Times New Roman" w:cs="Times New Roman"/>
          <w:b/>
          <w:sz w:val="24"/>
          <w:szCs w:val="24"/>
          <w:lang w:eastAsia="ko-KR"/>
        </w:rPr>
        <w:t>SRS for positioning activation/request procedure(s)</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As discussed in Section </w:t>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REF _Ref8668 \n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2.2</w:t>
      </w:r>
      <w:r>
        <w:rPr>
          <w:rFonts w:hint="default" w:ascii="Times New Roman" w:hAnsi="Times New Roman" w:cs="Times New Roman"/>
          <w:sz w:val="20"/>
          <w:szCs w:val="20"/>
        </w:rPr>
        <w:fldChar w:fldCharType="end"/>
      </w:r>
      <w:r>
        <w:rPr>
          <w:rFonts w:hint="default" w:ascii="Times New Roman" w:hAnsi="Times New Roman" w:cs="Times New Roman"/>
          <w:sz w:val="20"/>
          <w:szCs w:val="20"/>
        </w:rPr>
        <w:t>, UE will transmit Positioning Periodic SRS or Semi-Persistent SRS based on the SRS pre-configuration details. For periodic SRS configuration, UE may transmit SRS based on the periodicity, offset, power control and spatial details. But for semi-persistent SRS configuration, UE has to wait for a trigger command to start the SRS transmission.</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To support the effective transmission of intermittent small data, the Rel-17 introduced Small data transmission mechanism in RRC_INACTIVE state, the UE directly initiates small data transmission without switching to RRC_ CONNECTED state. Hence, we have the following observation:</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jc w:val="both"/>
        <w:textAlignment w:val="auto"/>
        <w:rPr>
          <w:rFonts w:hint="default" w:ascii="Times New Roman" w:hAnsi="Times New Roman" w:cs="Times New Roman"/>
          <w:i/>
          <w:iCs/>
          <w:lang w:val="en-US" w:eastAsia="zh-CN"/>
        </w:rPr>
      </w:pPr>
      <w:bookmarkStart w:id="25" w:name="_Ref16802"/>
      <w:r>
        <w:rPr>
          <w:rFonts w:hint="default" w:ascii="Times New Roman" w:hAnsi="Times New Roman" w:cs="Times New Roman"/>
          <w:i/>
          <w:iCs/>
        </w:rPr>
        <w:t xml:space="preserve">Observation </w:t>
      </w:r>
      <w:r>
        <w:rPr>
          <w:rFonts w:hint="default" w:ascii="Times New Roman" w:hAnsi="Times New Roman" w:cs="Times New Roman"/>
          <w:i/>
          <w:iCs/>
        </w:rPr>
        <w:fldChar w:fldCharType="begin"/>
      </w:r>
      <w:r>
        <w:rPr>
          <w:rFonts w:hint="default" w:ascii="Times New Roman" w:hAnsi="Times New Roman" w:cs="Times New Roman"/>
          <w:i/>
          <w:iCs/>
        </w:rPr>
        <w:instrText xml:space="preserve"> SEQ Observation \* ARABIC </w:instrText>
      </w:r>
      <w:r>
        <w:rPr>
          <w:rFonts w:hint="default" w:ascii="Times New Roman" w:hAnsi="Times New Roman" w:cs="Times New Roman"/>
          <w:i/>
          <w:iCs/>
        </w:rPr>
        <w:fldChar w:fldCharType="separate"/>
      </w:r>
      <w:r>
        <w:rPr>
          <w:rFonts w:hint="default" w:ascii="Times New Roman" w:hAnsi="Times New Roman" w:cs="Times New Roman"/>
          <w:i/>
          <w:iCs/>
        </w:rPr>
        <w:t>6</w:t>
      </w:r>
      <w:r>
        <w:rPr>
          <w:rFonts w:hint="default" w:ascii="Times New Roman" w:hAnsi="Times New Roman" w:cs="Times New Roman"/>
          <w:i/>
          <w:iCs/>
        </w:rPr>
        <w:fldChar w:fldCharType="end"/>
      </w:r>
      <w:r>
        <w:rPr>
          <w:rFonts w:hint="default" w:ascii="Times New Roman" w:hAnsi="Times New Roman" w:cs="Times New Roman"/>
          <w:i/>
          <w:iCs/>
          <w:lang w:val="en-US" w:eastAsia="zh-CN"/>
        </w:rPr>
        <w:t xml:space="preserve">: </w:t>
      </w:r>
      <w:r>
        <w:rPr>
          <w:rFonts w:hint="default" w:ascii="Times New Roman" w:hAnsi="Times New Roman" w:cs="Times New Roman"/>
          <w:i/>
          <w:iCs/>
          <w:lang w:val="en-US" w:eastAsia="ko-KR"/>
        </w:rPr>
        <w:t>SRS for positioning activation</w:t>
      </w:r>
      <w:r>
        <w:rPr>
          <w:rFonts w:hint="default" w:ascii="Times New Roman" w:hAnsi="Times New Roman" w:cs="Times New Roman"/>
          <w:i/>
          <w:iCs/>
          <w:lang w:val="en-US" w:eastAsia="zh-CN"/>
        </w:rPr>
        <w:t>/request procedures can be realized using SDT</w:t>
      </w:r>
      <w:r>
        <w:rPr>
          <w:rFonts w:hint="eastAsia" w:cs="Times New Roman"/>
          <w:i/>
          <w:iCs/>
          <w:lang w:val="en-US" w:eastAsia="zh-CN"/>
        </w:rPr>
        <w:t xml:space="preserve"> procedure</w:t>
      </w:r>
      <w:r>
        <w:rPr>
          <w:rFonts w:hint="default" w:ascii="Times New Roman" w:hAnsi="Times New Roman" w:cs="Times New Roman"/>
          <w:i/>
          <w:iCs/>
          <w:lang w:val="en-US" w:eastAsia="zh-CN"/>
        </w:rPr>
        <w:t>.</w:t>
      </w:r>
      <w:bookmarkEnd w:id="25"/>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UE may initiate SRS transmission request using in RACH procedure when it camps on a cell with semi</w:t>
      </w:r>
      <w:r>
        <w:rPr>
          <w:rFonts w:hint="eastAsia" w:ascii="Times New Roman" w:hAnsi="Times New Roman" w:cs="Times New Roman"/>
          <w:sz w:val="20"/>
          <w:szCs w:val="20"/>
          <w:lang w:val="en-US" w:eastAsia="zh-CN"/>
        </w:rPr>
        <w:t>-</w:t>
      </w:r>
      <w:r>
        <w:rPr>
          <w:rFonts w:hint="default" w:ascii="Times New Roman" w:hAnsi="Times New Roman" w:cs="Times New Roman"/>
          <w:sz w:val="20"/>
          <w:szCs w:val="20"/>
        </w:rPr>
        <w:t>persistent SRS configuration, and the SRS activation message can be included in msg4 (for 4 step RACH) when gNB detects the corresponding request. But from our perspective, it’s a RAN2 lead topic, therefore, we have the following proposal:</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jc w:val="both"/>
        <w:textAlignment w:val="auto"/>
        <w:rPr>
          <w:rFonts w:hint="default" w:ascii="Times New Roman" w:hAnsi="Times New Roman" w:cs="Times New Roman"/>
          <w:i/>
          <w:iCs/>
          <w:lang w:val="en-US" w:eastAsia="zh-CN"/>
        </w:rPr>
      </w:pPr>
      <w:bookmarkStart w:id="26" w:name="_Ref16832"/>
      <w:r>
        <w:rPr>
          <w:rFonts w:hint="default" w:ascii="Times New Roman" w:hAnsi="Times New Roman" w:cs="Times New Roman"/>
          <w:i/>
          <w:iCs/>
        </w:rPr>
        <w:t xml:space="preserve">Proposal </w:t>
      </w:r>
      <w:r>
        <w:rPr>
          <w:rFonts w:hint="default" w:ascii="Times New Roman" w:hAnsi="Times New Roman" w:cs="Times New Roman"/>
          <w:i/>
          <w:iCs/>
        </w:rPr>
        <w:fldChar w:fldCharType="begin"/>
      </w:r>
      <w:r>
        <w:rPr>
          <w:rFonts w:hint="default" w:ascii="Times New Roman" w:hAnsi="Times New Roman" w:cs="Times New Roman"/>
          <w:i/>
          <w:iCs/>
        </w:rPr>
        <w:instrText xml:space="preserve"> SEQ Proposal \* ARABIC </w:instrText>
      </w:r>
      <w:r>
        <w:rPr>
          <w:rFonts w:hint="default" w:ascii="Times New Roman" w:hAnsi="Times New Roman" w:cs="Times New Roman"/>
          <w:i/>
          <w:iCs/>
        </w:rPr>
        <w:fldChar w:fldCharType="separate"/>
      </w:r>
      <w:r>
        <w:rPr>
          <w:rFonts w:hint="default" w:ascii="Times New Roman" w:hAnsi="Times New Roman" w:cs="Times New Roman"/>
          <w:i/>
          <w:iCs/>
        </w:rPr>
        <w:t>6</w:t>
      </w:r>
      <w:r>
        <w:rPr>
          <w:rFonts w:hint="default" w:ascii="Times New Roman" w:hAnsi="Times New Roman" w:cs="Times New Roman"/>
          <w:i/>
          <w:iCs/>
        </w:rPr>
        <w:fldChar w:fldCharType="end"/>
      </w:r>
      <w:r>
        <w:rPr>
          <w:rFonts w:hint="default" w:ascii="Times New Roman" w:hAnsi="Times New Roman" w:cs="Times New Roman"/>
          <w:i/>
          <w:iCs/>
          <w:lang w:val="en-US" w:eastAsia="zh-CN"/>
        </w:rPr>
        <w:t>: Whether support SDT for positioning SRS activation/request can be decided by RAN2.</w:t>
      </w:r>
      <w:bookmarkEnd w:id="26"/>
    </w:p>
    <w:bookmarkEnd w:id="5"/>
    <w:p>
      <w:pPr>
        <w:pStyle w:val="2"/>
        <w:snapToGrid w:val="0"/>
        <w:spacing w:before="120" w:after="180" w:afterLines="50"/>
        <w:ind w:left="431" w:hanging="431"/>
        <w:jc w:val="both"/>
        <w:rPr>
          <w:rFonts w:hint="default" w:ascii="Times New Roman" w:hAnsi="Times New Roman" w:cs="Times New Roman"/>
          <w:sz w:val="28"/>
          <w:lang w:val="en-US"/>
        </w:rPr>
      </w:pPr>
      <w:r>
        <w:rPr>
          <w:rFonts w:hint="default" w:ascii="Times New Roman" w:hAnsi="Times New Roman" w:cs="Times New Roman"/>
          <w:sz w:val="28"/>
          <w:lang w:val="en-US"/>
        </w:rPr>
        <w:t xml:space="preserve">Conclusion </w:t>
      </w:r>
    </w:p>
    <w:p>
      <w:pPr>
        <w:snapToGrid w:val="0"/>
        <w:spacing w:before="180" w:beforeLines="50" w:after="180" w:afterLines="50" w:line="240" w:lineRule="auto"/>
        <w:jc w:val="both"/>
        <w:rPr>
          <w:rFonts w:hint="default" w:ascii="Times New Roman" w:hAnsi="Times New Roman" w:cs="Times New Roman"/>
          <w:sz w:val="20"/>
          <w:szCs w:val="20"/>
        </w:rPr>
      </w:pPr>
      <w:r>
        <w:rPr>
          <w:rFonts w:hint="default" w:ascii="Times New Roman" w:hAnsi="Times New Roman" w:cs="Times New Roman"/>
          <w:sz w:val="20"/>
          <w:szCs w:val="20"/>
        </w:rPr>
        <w:t>In this contribution, we have the following observations and proposals.</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_Ref16763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1</w:t>
      </w:r>
      <w:r>
        <w:rPr>
          <w:rFonts w:hint="default" w:ascii="Times New Roman" w:hAnsi="Times New Roman" w:cs="Times New Roman"/>
          <w:b/>
          <w:bCs/>
          <w:i/>
          <w:iCs/>
          <w:sz w:val="20"/>
          <w:szCs w:val="20"/>
          <w:lang w:val="en-US" w:eastAsia="zh-CN"/>
        </w:rPr>
        <w:t>: UE can automatically calculate the corresponding TA of a new cell based on its mobility when it camps on the new cell within the validity area.</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_Ref16770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2</w:t>
      </w:r>
      <w:r>
        <w:rPr>
          <w:rFonts w:hint="default" w:ascii="Times New Roman" w:hAnsi="Times New Roman" w:cs="Times New Roman"/>
          <w:b/>
          <w:bCs/>
          <w:i/>
          <w:iCs/>
          <w:sz w:val="20"/>
          <w:szCs w:val="20"/>
          <w:lang w:val="en-US" w:eastAsia="zh-CN"/>
        </w:rPr>
        <w:t>: UE can reuse the TA configured by the last serving gNB across multiple cells within the SRS configuration validity area when the following criterion are satisfied:</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gNBs within the validity area are well-synchronized.</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The movement of UE is less than the maximum supported cell ISD.</w:t>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end"/>
      </w: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_Ref16783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3</w:t>
      </w:r>
      <w:r>
        <w:rPr>
          <w:rFonts w:hint="default" w:ascii="Times New Roman" w:hAnsi="Times New Roman" w:cs="Times New Roman"/>
          <w:b/>
          <w:bCs/>
          <w:i/>
          <w:iCs/>
          <w:sz w:val="20"/>
          <w:szCs w:val="20"/>
          <w:lang w:val="en-US" w:eastAsia="zh-CN"/>
        </w:rPr>
        <w:t xml:space="preserve">: If </w:t>
      </w:r>
      <w:r>
        <w:rPr>
          <w:rFonts w:hint="default" w:ascii="Times New Roman" w:hAnsi="Times New Roman" w:cs="Times New Roman"/>
          <w:b/>
          <w:bCs/>
          <w:i/>
          <w:iCs/>
          <w:sz w:val="20"/>
          <w:szCs w:val="20"/>
          <w:lang w:val="en-US" w:eastAsia="ja-JP"/>
        </w:rPr>
        <w:t xml:space="preserve">a </w:t>
      </w:r>
      <w:r>
        <w:rPr>
          <w:rFonts w:hint="default" w:ascii="Times New Roman" w:hAnsi="Times New Roman" w:cs="Times New Roman"/>
          <w:b/>
          <w:bCs/>
          <w:i/>
          <w:iCs/>
          <w:sz w:val="20"/>
          <w:szCs w:val="20"/>
          <w:lang w:val="en-US" w:eastAsia="zh-CN"/>
        </w:rPr>
        <w:t xml:space="preserve">new </w:t>
      </w:r>
      <w:r>
        <w:rPr>
          <w:rFonts w:hint="default" w:ascii="Times New Roman" w:hAnsi="Times New Roman" w:cs="Times New Roman"/>
          <w:b/>
          <w:bCs/>
          <w:i/>
          <w:iCs/>
          <w:sz w:val="20"/>
          <w:szCs w:val="20"/>
          <w:lang w:val="en-US" w:eastAsia="ja-JP"/>
        </w:rPr>
        <w:t xml:space="preserve">cell can configure TA for UE when UE camps on </w:t>
      </w:r>
      <w:r>
        <w:rPr>
          <w:rFonts w:hint="default" w:ascii="Times New Roman" w:hAnsi="Times New Roman" w:cs="Times New Roman"/>
          <w:b/>
          <w:bCs/>
          <w:i/>
          <w:iCs/>
          <w:sz w:val="20"/>
          <w:szCs w:val="20"/>
          <w:lang w:val="en-US" w:eastAsia="zh-CN"/>
        </w:rPr>
        <w:t xml:space="preserve">this </w:t>
      </w:r>
      <w:r>
        <w:rPr>
          <w:rFonts w:hint="default" w:ascii="Times New Roman" w:hAnsi="Times New Roman" w:cs="Times New Roman"/>
          <w:b/>
          <w:bCs/>
          <w:i/>
          <w:iCs/>
          <w:sz w:val="20"/>
          <w:szCs w:val="20"/>
          <w:lang w:val="en-US" w:eastAsia="ja-JP"/>
        </w:rPr>
        <w:t>cell, UE has to initiate RACH procedure. And the new cell should support SDT feature to avoid UE entering RRC_CONNECTED state.</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_Ref21665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4</w:t>
      </w:r>
      <w:r>
        <w:rPr>
          <w:rFonts w:hint="default" w:ascii="Times New Roman" w:hAnsi="Times New Roman" w:cs="Times New Roman"/>
          <w:b/>
          <w:bCs/>
          <w:i/>
          <w:iCs/>
          <w:sz w:val="20"/>
          <w:szCs w:val="20"/>
          <w:lang w:val="en-US" w:eastAsia="zh-CN"/>
        </w:rPr>
        <w:t xml:space="preserve">: Power control related parameters include pathloss reference, p0 and alpha cannot be reused in multiple cells, these configurations are regarded as invalid when UE camps on a new cell. </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_Ref16799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5</w:t>
      </w:r>
      <w:r>
        <w:rPr>
          <w:rFonts w:hint="default" w:ascii="Times New Roman" w:hAnsi="Times New Roman" w:cs="Times New Roman"/>
          <w:b/>
          <w:bCs/>
          <w:i/>
          <w:iCs/>
          <w:sz w:val="20"/>
          <w:szCs w:val="20"/>
          <w:lang w:val="en-US" w:eastAsia="zh-CN"/>
        </w:rPr>
        <w:t>: S</w:t>
      </w:r>
      <w:r>
        <w:rPr>
          <w:rFonts w:hint="default" w:ascii="Times New Roman" w:hAnsi="Times New Roman" w:cs="Times New Roman"/>
          <w:b/>
          <w:bCs/>
          <w:i/>
          <w:iCs/>
          <w:sz w:val="20"/>
          <w:szCs w:val="20"/>
          <w:lang w:val="en-US" w:eastAsia="ko-KR"/>
        </w:rPr>
        <w:t>patial relation information</w:t>
      </w:r>
      <w:r>
        <w:rPr>
          <w:rFonts w:hint="default" w:ascii="Times New Roman" w:hAnsi="Times New Roman" w:cs="Times New Roman"/>
          <w:b/>
          <w:bCs/>
          <w:i/>
          <w:iCs/>
          <w:sz w:val="20"/>
          <w:szCs w:val="20"/>
          <w:lang w:val="en-US" w:eastAsia="zh-CN"/>
        </w:rPr>
        <w:t xml:space="preserve"> configured by the last serving gNB is invalid when UE camps on a new cell.</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_Ref16802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Observation 6</w:t>
      </w:r>
      <w:r>
        <w:rPr>
          <w:rFonts w:hint="default" w:ascii="Times New Roman" w:hAnsi="Times New Roman" w:cs="Times New Roman"/>
          <w:b/>
          <w:bCs/>
          <w:i/>
          <w:iCs/>
          <w:sz w:val="20"/>
          <w:szCs w:val="20"/>
          <w:lang w:val="en-US" w:eastAsia="zh-CN"/>
        </w:rPr>
        <w:t xml:space="preserve">: </w:t>
      </w:r>
      <w:r>
        <w:rPr>
          <w:rFonts w:hint="default" w:ascii="Times New Roman" w:hAnsi="Times New Roman" w:cs="Times New Roman"/>
          <w:b/>
          <w:bCs/>
          <w:i/>
          <w:iCs/>
          <w:sz w:val="20"/>
          <w:szCs w:val="20"/>
          <w:lang w:val="en-US" w:eastAsia="ko-KR"/>
        </w:rPr>
        <w:t>SRS for positioning activation</w:t>
      </w:r>
      <w:r>
        <w:rPr>
          <w:rFonts w:hint="default" w:ascii="Times New Roman" w:hAnsi="Times New Roman" w:cs="Times New Roman"/>
          <w:b/>
          <w:bCs/>
          <w:i/>
          <w:iCs/>
          <w:sz w:val="20"/>
          <w:szCs w:val="20"/>
          <w:lang w:val="en-US" w:eastAsia="zh-CN"/>
        </w:rPr>
        <w:t>/request procedures can be realized using SDT procedure.</w:t>
      </w:r>
      <w:r>
        <w:rPr>
          <w:rFonts w:hint="default" w:ascii="Times New Roman" w:hAnsi="Times New Roman" w:cs="Times New Roman"/>
          <w:b/>
          <w:bCs/>
          <w:sz w:val="20"/>
          <w:szCs w:val="20"/>
          <w:lang w:val="en-US"/>
        </w:rPr>
        <w:fldChar w:fldCharType="end"/>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_Ref21708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1</w:t>
      </w:r>
      <w:r>
        <w:rPr>
          <w:rFonts w:hint="default" w:ascii="Times New Roman" w:hAnsi="Times New Roman" w:cs="Times New Roman"/>
          <w:b/>
          <w:bCs/>
          <w:i/>
          <w:iCs/>
          <w:sz w:val="20"/>
          <w:szCs w:val="20"/>
          <w:lang w:val="en-US" w:eastAsia="zh-CN"/>
        </w:rPr>
        <w:t>: Support one of the following TA determination options when UE camps on a new cell within the validity area:</w:t>
      </w:r>
      <w:r>
        <w:rPr>
          <w:rFonts w:hint="default" w:ascii="Times New Roman" w:hAnsi="Times New Roman" w:cs="Times New Roman"/>
          <w:b/>
          <w:bCs/>
          <w:sz w:val="20"/>
          <w:szCs w:val="20"/>
          <w:lang w:val="en-US"/>
        </w:rPr>
        <w:fldChar w:fldCharType="end"/>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UE automatically calculates the corresponding TA of a new cell if let UE know the coordinates of gNBs within the validity area. </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UE reuses the TA configured by the last serving gNB across multiple cells within the SRS configuration validity area.</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gNB configures new TA for UE when UE camps on a new cell based on the SDT procedure.</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_Ref21717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2</w:t>
      </w:r>
      <w:r>
        <w:rPr>
          <w:rFonts w:hint="default" w:ascii="Times New Roman" w:hAnsi="Times New Roman" w:cs="Times New Roman"/>
          <w:b/>
          <w:bCs/>
          <w:i/>
          <w:iCs/>
          <w:sz w:val="20"/>
          <w:szCs w:val="20"/>
          <w:lang w:val="en-US" w:eastAsia="zh-CN"/>
        </w:rPr>
        <w:t>: For power saving purpose, support the following SRS transmission enhancement in RRC_INACTIVE to stop UE being restricted by TA valid criterion when transmitting SRS:</w:t>
      </w:r>
      <w:r>
        <w:rPr>
          <w:rFonts w:hint="default" w:ascii="Times New Roman" w:hAnsi="Times New Roman" w:cs="Times New Roman"/>
          <w:b/>
          <w:bCs/>
          <w:sz w:val="20"/>
          <w:szCs w:val="20"/>
          <w:lang w:val="en-US"/>
        </w:rPr>
        <w:fldChar w:fldCharType="end"/>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Configure</w:t>
      </w:r>
      <w:r>
        <w:rPr>
          <w:rFonts w:hint="default" w:ascii="Times New Roman" w:hAnsi="Times New Roman" w:cs="Times New Roman" w:eastAsiaTheme="minorEastAsia"/>
          <w:b/>
          <w:bCs/>
          <w:i/>
          <w:iCs/>
          <w:sz w:val="20"/>
          <w:szCs w:val="20"/>
          <w:lang w:val="en-US" w:eastAsia="zh-CN" w:bidi="ar-SA"/>
        </w:rPr>
        <w:t xml:space="preserve"> a single inactivePosSRS-TimeAlignmentTimer for UE</w:t>
      </w:r>
      <w:r>
        <w:rPr>
          <w:rFonts w:hint="default" w:ascii="Times New Roman" w:hAnsi="Times New Roman" w:cs="Times New Roman"/>
          <w:b/>
          <w:bCs/>
          <w:i/>
          <w:iCs/>
          <w:sz w:val="20"/>
          <w:szCs w:val="20"/>
          <w:lang w:val="en-US" w:eastAsia="zh-CN" w:bidi="ar-SA"/>
        </w:rPr>
        <w:t xml:space="preserve"> in multiple cells</w:t>
      </w:r>
      <w:r>
        <w:rPr>
          <w:rFonts w:hint="default" w:ascii="Times New Roman" w:hAnsi="Times New Roman" w:cs="Times New Roman" w:eastAsiaTheme="minorEastAsia"/>
          <w:b/>
          <w:bCs/>
          <w:i/>
          <w:iCs/>
          <w:sz w:val="20"/>
          <w:szCs w:val="20"/>
          <w:lang w:val="en-US" w:eastAsia="zh-CN" w:bidi="ar-SA"/>
        </w:rPr>
        <w:t xml:space="preserve"> within the </w:t>
      </w:r>
      <w:r>
        <w:rPr>
          <w:rFonts w:hint="default" w:ascii="Times New Roman" w:hAnsi="Times New Roman" w:cs="Times New Roman"/>
          <w:b/>
          <w:bCs/>
          <w:i/>
          <w:iCs/>
          <w:sz w:val="20"/>
          <w:szCs w:val="20"/>
          <w:lang w:val="en-US" w:eastAsia="zh-CN" w:bidi="ar-SA"/>
        </w:rPr>
        <w:t xml:space="preserve">SRS configuration </w:t>
      </w:r>
      <w:r>
        <w:rPr>
          <w:rFonts w:hint="default" w:ascii="Times New Roman" w:hAnsi="Times New Roman" w:cs="Times New Roman" w:eastAsiaTheme="minorEastAsia"/>
          <w:b/>
          <w:bCs/>
          <w:i/>
          <w:iCs/>
          <w:sz w:val="20"/>
          <w:szCs w:val="20"/>
          <w:lang w:val="en-US" w:eastAsia="zh-CN" w:bidi="ar-SA"/>
        </w:rPr>
        <w:t>validity area.</w:t>
      </w:r>
    </w:p>
    <w:p>
      <w:pPr>
        <w:keepNext w:val="0"/>
        <w:keepLines w:val="0"/>
        <w:pageBreakBefore w:val="0"/>
        <w:widowControl/>
        <w:numPr>
          <w:ilvl w:val="1"/>
          <w:numId w:val="8"/>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 xml:space="preserve">the </w:t>
      </w:r>
      <w:r>
        <w:rPr>
          <w:rFonts w:hint="default" w:ascii="Times New Roman" w:hAnsi="Times New Roman" w:cs="Times New Roman" w:eastAsiaTheme="minorEastAsia"/>
          <w:b/>
          <w:bCs/>
          <w:i/>
          <w:iCs/>
          <w:sz w:val="20"/>
          <w:szCs w:val="20"/>
          <w:lang w:val="en-US" w:eastAsia="zh-CN" w:bidi="ar-SA"/>
        </w:rPr>
        <w:t>TimeAlignmentTimer</w:t>
      </w:r>
      <w:r>
        <w:rPr>
          <w:rFonts w:hint="default" w:ascii="Times New Roman" w:hAnsi="Times New Roman" w:cs="Times New Roman"/>
          <w:b/>
          <w:bCs/>
          <w:i/>
          <w:iCs/>
          <w:sz w:val="20"/>
          <w:szCs w:val="20"/>
          <w:lang w:val="en-US" w:eastAsia="zh-CN"/>
        </w:rPr>
        <w:t xml:space="preserve"> could keep running when cell reselection happens if UE reuses the TA configured by the last serving gNB or update TA based on UE implementation.</w:t>
      </w:r>
    </w:p>
    <w:p>
      <w:pPr>
        <w:keepNext w:val="0"/>
        <w:keepLines w:val="0"/>
        <w:pageBreakBefore w:val="0"/>
        <w:widowControl/>
        <w:numPr>
          <w:ilvl w:val="1"/>
          <w:numId w:val="8"/>
        </w:numPr>
        <w:kinsoku/>
        <w:wordWrap/>
        <w:overflowPunct/>
        <w:topLinePunct w:val="0"/>
        <w:autoSpaceDE/>
        <w:autoSpaceDN/>
        <w:bidi w:val="0"/>
        <w:adjustRightInd w:val="0"/>
        <w:snapToGrid w:val="0"/>
        <w:spacing w:before="181" w:beforeLines="50" w:after="181" w:afterLines="50" w:line="240" w:lineRule="auto"/>
        <w:ind w:left="84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rPr>
        <w:t xml:space="preserve">the </w:t>
      </w:r>
      <w:r>
        <w:rPr>
          <w:rFonts w:hint="default" w:ascii="Times New Roman" w:hAnsi="Times New Roman" w:cs="Times New Roman" w:eastAsiaTheme="minorEastAsia"/>
          <w:b/>
          <w:bCs/>
          <w:i/>
          <w:iCs/>
          <w:sz w:val="20"/>
          <w:szCs w:val="20"/>
          <w:lang w:val="en-US" w:eastAsia="zh-CN" w:bidi="ar-SA"/>
        </w:rPr>
        <w:t>TimeAlignmentTimer</w:t>
      </w:r>
      <w:r>
        <w:rPr>
          <w:rFonts w:hint="default" w:ascii="Times New Roman" w:hAnsi="Times New Roman" w:cs="Times New Roman"/>
          <w:b/>
          <w:bCs/>
          <w:i/>
          <w:iCs/>
          <w:sz w:val="20"/>
          <w:szCs w:val="20"/>
          <w:lang w:val="en-US" w:eastAsia="zh-CN" w:bidi="ar-SA"/>
        </w:rPr>
        <w:t xml:space="preserve"> could be restarted when UE receives </w:t>
      </w:r>
      <w:r>
        <w:rPr>
          <w:rFonts w:hint="default" w:ascii="Times New Roman" w:hAnsi="Times New Roman" w:cs="Times New Roman"/>
          <w:b/>
          <w:bCs/>
          <w:i/>
          <w:iCs/>
          <w:sz w:val="20"/>
          <w:szCs w:val="20"/>
          <w:lang w:val="en-US" w:eastAsia="zh-CN"/>
        </w:rPr>
        <w:t>the TAC command from the camp-on cell.</w:t>
      </w:r>
    </w:p>
    <w:p>
      <w:pPr>
        <w:keepNext w:val="0"/>
        <w:keepLines w:val="0"/>
        <w:pageBreakBefore w:val="0"/>
        <w:widowControl/>
        <w:numPr>
          <w:ilvl w:val="0"/>
          <w:numId w:val="8"/>
        </w:numPr>
        <w:kinsoku/>
        <w:wordWrap/>
        <w:overflowPunct/>
        <w:topLinePunct w:val="0"/>
        <w:autoSpaceDE/>
        <w:autoSpaceDN/>
        <w:bidi w:val="0"/>
        <w:adjustRightInd w:val="0"/>
        <w:snapToGrid w:val="0"/>
        <w:spacing w:before="181" w:beforeLines="50" w:after="181" w:afterLines="50" w:line="240" w:lineRule="auto"/>
        <w:ind w:left="420" w:leftChars="0" w:hanging="420" w:firstLineChars="0"/>
        <w:jc w:val="both"/>
        <w:textAlignment w:val="auto"/>
        <w:rPr>
          <w:rFonts w:hint="default" w:ascii="Times New Roman" w:hAnsi="Times New Roman" w:cs="Times New Roman"/>
          <w:b/>
          <w:bCs/>
          <w:i/>
          <w:iCs/>
          <w:sz w:val="20"/>
          <w:szCs w:val="20"/>
        </w:rPr>
      </w:pPr>
      <w:r>
        <w:rPr>
          <w:rFonts w:hint="default" w:ascii="Times New Roman" w:hAnsi="Times New Roman" w:cs="Times New Roman"/>
          <w:b/>
          <w:bCs/>
          <w:i/>
          <w:iCs/>
          <w:sz w:val="20"/>
          <w:szCs w:val="20"/>
          <w:lang w:val="en-US" w:eastAsia="zh-CN" w:bidi="ar-SA"/>
        </w:rPr>
        <w:t>Configure a single i</w:t>
      </w:r>
      <w:r>
        <w:rPr>
          <w:rFonts w:hint="default" w:ascii="Times New Roman" w:hAnsi="Times New Roman" w:cs="Times New Roman" w:eastAsiaTheme="minorEastAsia"/>
          <w:b/>
          <w:bCs/>
          <w:i/>
          <w:iCs/>
          <w:sz w:val="20"/>
          <w:szCs w:val="20"/>
          <w:lang w:val="en-US" w:eastAsia="zh-CN" w:bidi="ar-SA"/>
        </w:rPr>
        <w:t>nactivePosSRS</w:t>
      </w:r>
      <w:bookmarkStart w:id="27" w:name="_GoBack"/>
      <w:bookmarkEnd w:id="27"/>
      <w:r>
        <w:rPr>
          <w:rFonts w:hint="default" w:ascii="Times New Roman" w:hAnsi="Times New Roman" w:cs="Times New Roman" w:eastAsiaTheme="minorEastAsia"/>
          <w:b/>
          <w:bCs/>
          <w:i/>
          <w:iCs/>
          <w:sz w:val="20"/>
          <w:szCs w:val="20"/>
          <w:lang w:val="en-US" w:eastAsia="zh-CN" w:bidi="ar-SA"/>
        </w:rPr>
        <w:t xml:space="preserve">-RSRP-ChangeThreshold for UE </w:t>
      </w:r>
      <w:r>
        <w:rPr>
          <w:rFonts w:hint="default" w:ascii="Times New Roman" w:hAnsi="Times New Roman" w:cs="Times New Roman"/>
          <w:b/>
          <w:bCs/>
          <w:i/>
          <w:iCs/>
          <w:sz w:val="20"/>
          <w:szCs w:val="20"/>
          <w:lang w:val="en-US" w:eastAsia="zh-CN" w:bidi="ar-SA"/>
        </w:rPr>
        <w:t xml:space="preserve">in multiple cells </w:t>
      </w:r>
      <w:r>
        <w:rPr>
          <w:rFonts w:hint="default" w:ascii="Times New Roman" w:hAnsi="Times New Roman" w:cs="Times New Roman" w:eastAsiaTheme="minorEastAsia"/>
          <w:b/>
          <w:bCs/>
          <w:i/>
          <w:iCs/>
          <w:sz w:val="20"/>
          <w:szCs w:val="20"/>
          <w:lang w:val="en-US" w:eastAsia="zh-CN" w:bidi="ar-SA"/>
        </w:rPr>
        <w:t xml:space="preserve">within the </w:t>
      </w:r>
      <w:r>
        <w:rPr>
          <w:rFonts w:hint="default" w:ascii="Times New Roman" w:hAnsi="Times New Roman" w:cs="Times New Roman"/>
          <w:b/>
          <w:bCs/>
          <w:i/>
          <w:iCs/>
          <w:sz w:val="20"/>
          <w:szCs w:val="20"/>
          <w:lang w:val="en-US" w:eastAsia="zh-CN" w:bidi="ar-SA"/>
        </w:rPr>
        <w:t xml:space="preserve">SRS configuration </w:t>
      </w:r>
      <w:r>
        <w:rPr>
          <w:rFonts w:hint="default" w:ascii="Times New Roman" w:hAnsi="Times New Roman" w:cs="Times New Roman" w:eastAsiaTheme="minorEastAsia"/>
          <w:b/>
          <w:bCs/>
          <w:i/>
          <w:iCs/>
          <w:sz w:val="20"/>
          <w:szCs w:val="20"/>
          <w:lang w:val="en-US" w:eastAsia="zh-CN" w:bidi="ar-SA"/>
        </w:rPr>
        <w:t>validity area.</w:t>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_Ref16796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3</w:t>
      </w:r>
      <w:r>
        <w:rPr>
          <w:rFonts w:hint="default" w:ascii="Times New Roman" w:hAnsi="Times New Roman" w:cs="Times New Roman"/>
          <w:b/>
          <w:bCs/>
          <w:i/>
          <w:iCs/>
          <w:sz w:val="20"/>
          <w:szCs w:val="20"/>
          <w:lang w:val="en-US" w:eastAsia="zh-CN"/>
        </w:rPr>
        <w:t>: Configure multiple configurations of Pathloss reference, p0 and alpha by the serving cell, where each configuration is for one cell in the valid area. And UE can automatically use the corresponding when UE camps on a new cell.</w:t>
      </w:r>
      <w:r>
        <w:rPr>
          <w:rFonts w:hint="default" w:ascii="Times New Roman" w:hAnsi="Times New Roman" w:cs="Times New Roman"/>
          <w:b/>
          <w:bCs/>
          <w:sz w:val="20"/>
          <w:szCs w:val="20"/>
          <w:lang w:val="en-US"/>
        </w:rPr>
        <w:fldChar w:fldCharType="end"/>
      </w:r>
    </w:p>
    <w:p>
      <w:pPr>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_Ref21731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4</w:t>
      </w:r>
      <w:r>
        <w:rPr>
          <w:rFonts w:hint="default" w:ascii="Times New Roman" w:hAnsi="Times New Roman" w:cs="Times New Roman"/>
          <w:b/>
          <w:bCs/>
          <w:i/>
          <w:iCs/>
          <w:sz w:val="20"/>
          <w:szCs w:val="20"/>
          <w:lang w:val="en-US" w:eastAsia="zh-CN"/>
        </w:rPr>
        <w:t>: Serving cell can configure spatial relation for each cell and UE can automatically use the corresponding spatial relation of a new cell when it camps on the new cell within the validity area.</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_Ref16829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5</w:t>
      </w:r>
      <w:r>
        <w:rPr>
          <w:rFonts w:hint="default" w:ascii="Times New Roman" w:hAnsi="Times New Roman" w:cs="Times New Roman"/>
          <w:b/>
          <w:bCs/>
          <w:i/>
          <w:iCs/>
          <w:sz w:val="20"/>
          <w:szCs w:val="20"/>
          <w:lang w:val="en-US" w:eastAsia="zh-CN"/>
        </w:rPr>
        <w:t>: Support SRS pre-configuration based on SRS positioning validity area to avoid frequent RRC connection for SRS (re)configuration.</w:t>
      </w:r>
      <w:r>
        <w:rPr>
          <w:rFonts w:hint="default" w:ascii="Times New Roman" w:hAnsi="Times New Roman" w:cs="Times New Roman"/>
          <w:b/>
          <w:bCs/>
          <w:sz w:val="20"/>
          <w:szCs w:val="20"/>
          <w:lang w:val="en-US"/>
        </w:rPr>
        <w:fldChar w:fldCharType="end"/>
      </w:r>
    </w:p>
    <w:p>
      <w:pPr>
        <w:pStyle w:val="15"/>
        <w:keepNext w:val="0"/>
        <w:keepLines w:val="0"/>
        <w:pageBreakBefore w:val="0"/>
        <w:widowControl/>
        <w:kinsoku/>
        <w:wordWrap/>
        <w:overflowPunct/>
        <w:topLinePunct w:val="0"/>
        <w:autoSpaceDE/>
        <w:autoSpaceDN/>
        <w:bidi w:val="0"/>
        <w:adjustRightInd w:val="0"/>
        <w:snapToGrid w:val="0"/>
        <w:spacing w:before="181" w:beforeLines="50" w:after="181" w:afterLines="50" w:line="240" w:lineRule="auto"/>
        <w:jc w:val="both"/>
        <w:textAlignment w:val="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fldChar w:fldCharType="begin"/>
      </w:r>
      <w:r>
        <w:rPr>
          <w:rFonts w:hint="default" w:ascii="Times New Roman" w:hAnsi="Times New Roman" w:cs="Times New Roman"/>
          <w:b/>
          <w:bCs/>
          <w:sz w:val="20"/>
          <w:szCs w:val="20"/>
          <w:lang w:val="en-US"/>
        </w:rPr>
        <w:instrText xml:space="preserve"> REF _Ref16832 \h </w:instrText>
      </w:r>
      <w:r>
        <w:rPr>
          <w:rFonts w:hint="default" w:ascii="Times New Roman" w:hAnsi="Times New Roman" w:cs="Times New Roman"/>
          <w:b/>
          <w:bCs/>
          <w:sz w:val="20"/>
          <w:szCs w:val="20"/>
          <w:lang w:val="en-US"/>
        </w:rPr>
        <w:fldChar w:fldCharType="separate"/>
      </w:r>
      <w:r>
        <w:rPr>
          <w:rFonts w:hint="default" w:ascii="Times New Roman" w:hAnsi="Times New Roman" w:cs="Times New Roman"/>
          <w:b/>
          <w:bCs/>
          <w:i/>
          <w:iCs/>
          <w:sz w:val="20"/>
          <w:szCs w:val="20"/>
        </w:rPr>
        <w:t>Proposal 6</w:t>
      </w:r>
      <w:r>
        <w:rPr>
          <w:rFonts w:hint="default" w:ascii="Times New Roman" w:hAnsi="Times New Roman" w:cs="Times New Roman"/>
          <w:b/>
          <w:bCs/>
          <w:i/>
          <w:iCs/>
          <w:sz w:val="20"/>
          <w:szCs w:val="20"/>
          <w:lang w:val="en-US" w:eastAsia="zh-CN"/>
        </w:rPr>
        <w:t>: Whether support SDT for positioning SRS activation/request can be decided by RAN2.</w:t>
      </w:r>
      <w:r>
        <w:rPr>
          <w:rFonts w:hint="default" w:ascii="Times New Roman" w:hAnsi="Times New Roman" w:cs="Times New Roman"/>
          <w:b/>
          <w:bCs/>
          <w:sz w:val="20"/>
          <w:szCs w:val="20"/>
          <w:lang w:val="en-US"/>
        </w:rPr>
        <w:fldChar w:fldCharType="end"/>
      </w:r>
    </w:p>
    <w:p>
      <w:pPr>
        <w:pStyle w:val="2"/>
        <w:snapToGrid w:val="0"/>
        <w:spacing w:before="120" w:after="180" w:afterLines="50"/>
        <w:ind w:left="431" w:hanging="431"/>
        <w:jc w:val="both"/>
        <w:rPr>
          <w:rFonts w:hint="default" w:ascii="Times New Roman" w:hAnsi="Times New Roman" w:cs="Times New Roman"/>
          <w:sz w:val="28"/>
          <w:lang w:val="en-US"/>
        </w:rPr>
      </w:pPr>
      <w:r>
        <w:rPr>
          <w:rFonts w:hint="default" w:ascii="Times New Roman" w:hAnsi="Times New Roman" w:cs="Times New Roman"/>
          <w:sz w:val="28"/>
          <w:lang w:val="en-US"/>
        </w:rPr>
        <w:t>Reference</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sz w:val="20"/>
          <w:szCs w:val="20"/>
        </w:rPr>
      </w:pPr>
      <w:r>
        <w:rPr>
          <w:rFonts w:ascii="Times New Roman" w:hAnsi="Times New Roman" w:eastAsia="宋体"/>
          <w:sz w:val="20"/>
          <w:szCs w:val="20"/>
        </w:rPr>
        <w:t>RP-223549</w:t>
      </w:r>
      <w:r>
        <w:rPr>
          <w:rFonts w:hint="eastAsia" w:ascii="Times New Roman" w:hAnsi="Times New Roman" w:eastAsia="宋体"/>
          <w:sz w:val="20"/>
          <w:szCs w:val="20"/>
          <w:lang w:val="en-US" w:eastAsia="zh-CN"/>
        </w:rPr>
        <w:t xml:space="preserve">, </w:t>
      </w:r>
      <w:r>
        <w:rPr>
          <w:rFonts w:hint="default" w:ascii="Times New Roman" w:hAnsi="Times New Roman" w:eastAsia="宋体" w:cs="Times New Roman"/>
          <w:sz w:val="20"/>
          <w:szCs w:val="20"/>
        </w:rPr>
        <w:t>New WID on Expanded and Improved NR Positioning, Intel Corporation, CATT, Ericsson, 3GPP TSG RAN Meeting #98-e.</w:t>
      </w:r>
    </w:p>
    <w:p>
      <w:pPr>
        <w:keepNext w:val="0"/>
        <w:keepLines w:val="0"/>
        <w:pageBreakBefore w:val="0"/>
        <w:widowControl/>
        <w:numPr>
          <w:ilvl w:val="0"/>
          <w:numId w:val="9"/>
        </w:numPr>
        <w:kinsoku/>
        <w:wordWrap/>
        <w:overflowPunct/>
        <w:topLinePunct w:val="0"/>
        <w:autoSpaceDE w:val="0"/>
        <w:autoSpaceDN w:val="0"/>
        <w:bidi w:val="0"/>
        <w:adjustRightInd w:val="0"/>
        <w:snapToGrid w:val="0"/>
        <w:spacing w:after="0" w:line="240" w:lineRule="auto"/>
        <w:jc w:val="both"/>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TS 38.321, Medium Access Control (MAC) protocol specification.</w:t>
      </w:r>
    </w:p>
    <w:p>
      <w:pPr>
        <w:snapToGrid w:val="0"/>
        <w:spacing w:after="0" w:line="240" w:lineRule="auto"/>
        <w:jc w:val="both"/>
        <w:rPr>
          <w:rFonts w:hint="default" w:ascii="Times New Roman" w:hAnsi="Times New Roman" w:eastAsia="宋体" w:cs="Times New Roman"/>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14</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pStyle w:val="4"/>
      <w:lvlText w:val="%1.%2.%3."/>
      <w:lvlJc w:val="left"/>
      <w:pPr>
        <w:ind w:left="720" w:hanging="720"/>
      </w:pPr>
      <w:rPr>
        <w:rFonts w:hint="default" w:ascii="Times New Roman" w:hAnsi="Times New Roman" w:eastAsia="宋体" w:cs="Times New Roman"/>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3">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F95548B"/>
    <w:multiLevelType w:val="multilevel"/>
    <w:tmpl w:val="4F95548B"/>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CCE5E34"/>
    <w:multiLevelType w:val="multilevel"/>
    <w:tmpl w:val="6CCE5E3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BFAFCF"/>
    <w:multiLevelType w:val="singleLevel"/>
    <w:tmpl w:val="79BFAFCF"/>
    <w:lvl w:ilvl="0" w:tentative="0">
      <w:start w:val="1"/>
      <w:numFmt w:val="decimal"/>
      <w:lvlText w:val="%1)"/>
      <w:lvlJc w:val="left"/>
      <w:pPr>
        <w:tabs>
          <w:tab w:val="left" w:pos="312"/>
        </w:tabs>
      </w:pPr>
    </w:lvl>
  </w:abstractNum>
  <w:abstractNum w:abstractNumId="8">
    <w:nsid w:val="7DD728A3"/>
    <w:multiLevelType w:val="multilevel"/>
    <w:tmpl w:val="7DD728A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1"/>
  </w:num>
  <w:num w:numId="2">
    <w:abstractNumId w:val="4"/>
  </w:num>
  <w:num w:numId="3">
    <w:abstractNumId w:val="3"/>
  </w:num>
  <w:num w:numId="4">
    <w:abstractNumId w:val="6"/>
  </w:num>
  <w:num w:numId="5">
    <w:abstractNumId w:val="2"/>
  </w:num>
  <w:num w:numId="6">
    <w:abstractNumId w:val="7"/>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B5F"/>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2B"/>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454"/>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19E"/>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ECD"/>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8EC"/>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5FC0"/>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97FC8"/>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A7E"/>
    <w:rsid w:val="002D5CD8"/>
    <w:rsid w:val="002D6176"/>
    <w:rsid w:val="002D61E2"/>
    <w:rsid w:val="002D6230"/>
    <w:rsid w:val="002D6770"/>
    <w:rsid w:val="002D6A75"/>
    <w:rsid w:val="002D6BD6"/>
    <w:rsid w:val="002D6E3A"/>
    <w:rsid w:val="002D6F2B"/>
    <w:rsid w:val="002D7103"/>
    <w:rsid w:val="002D73D0"/>
    <w:rsid w:val="002D7720"/>
    <w:rsid w:val="002D77B8"/>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2A"/>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1F"/>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3DC1"/>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CF2"/>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0E"/>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429"/>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643"/>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D8"/>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77D"/>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1058"/>
    <w:rsid w:val="008511E6"/>
    <w:rsid w:val="008515B3"/>
    <w:rsid w:val="008515EC"/>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31"/>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14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72"/>
    <w:rsid w:val="009A078C"/>
    <w:rsid w:val="009A0940"/>
    <w:rsid w:val="009A1240"/>
    <w:rsid w:val="009A130F"/>
    <w:rsid w:val="009A13AD"/>
    <w:rsid w:val="009A18CA"/>
    <w:rsid w:val="009A193C"/>
    <w:rsid w:val="009A209D"/>
    <w:rsid w:val="009A2116"/>
    <w:rsid w:val="009A22B7"/>
    <w:rsid w:val="009A232F"/>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28E"/>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A50"/>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90B"/>
    <w:rsid w:val="00AB3D99"/>
    <w:rsid w:val="00AB3EA4"/>
    <w:rsid w:val="00AB3F11"/>
    <w:rsid w:val="00AB45FE"/>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05"/>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44"/>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743E"/>
    <w:rsid w:val="00D07543"/>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50E"/>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5C0"/>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B16"/>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95E"/>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FE"/>
    <w:rsid w:val="00F4379E"/>
    <w:rsid w:val="00F438EF"/>
    <w:rsid w:val="00F43957"/>
    <w:rsid w:val="00F43A80"/>
    <w:rsid w:val="00F43FAD"/>
    <w:rsid w:val="00F4433B"/>
    <w:rsid w:val="00F4433D"/>
    <w:rsid w:val="00F445C2"/>
    <w:rsid w:val="00F44844"/>
    <w:rsid w:val="00F449B9"/>
    <w:rsid w:val="00F44AE7"/>
    <w:rsid w:val="00F44CF4"/>
    <w:rsid w:val="00F44DCF"/>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528"/>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E3D59"/>
    <w:rsid w:val="012E78A0"/>
    <w:rsid w:val="013339E8"/>
    <w:rsid w:val="013340AD"/>
    <w:rsid w:val="01384A19"/>
    <w:rsid w:val="013A5D59"/>
    <w:rsid w:val="013C501C"/>
    <w:rsid w:val="013D4FA6"/>
    <w:rsid w:val="01411326"/>
    <w:rsid w:val="01464F0E"/>
    <w:rsid w:val="015602B3"/>
    <w:rsid w:val="01590814"/>
    <w:rsid w:val="01592BEE"/>
    <w:rsid w:val="01657634"/>
    <w:rsid w:val="01697CD6"/>
    <w:rsid w:val="016B6DD7"/>
    <w:rsid w:val="01701670"/>
    <w:rsid w:val="0171562A"/>
    <w:rsid w:val="01742CDF"/>
    <w:rsid w:val="017729EB"/>
    <w:rsid w:val="0179061D"/>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5D139A"/>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2447D"/>
    <w:rsid w:val="031A545F"/>
    <w:rsid w:val="031F008D"/>
    <w:rsid w:val="032A509F"/>
    <w:rsid w:val="03327E4E"/>
    <w:rsid w:val="03334938"/>
    <w:rsid w:val="0333596C"/>
    <w:rsid w:val="03375E7B"/>
    <w:rsid w:val="033912FE"/>
    <w:rsid w:val="03394321"/>
    <w:rsid w:val="03406AD4"/>
    <w:rsid w:val="034938C7"/>
    <w:rsid w:val="034E4F0F"/>
    <w:rsid w:val="034F290D"/>
    <w:rsid w:val="03513AB2"/>
    <w:rsid w:val="035279F8"/>
    <w:rsid w:val="03535FAB"/>
    <w:rsid w:val="035A6727"/>
    <w:rsid w:val="0360437B"/>
    <w:rsid w:val="037C715A"/>
    <w:rsid w:val="03826E5C"/>
    <w:rsid w:val="03892991"/>
    <w:rsid w:val="038C02EB"/>
    <w:rsid w:val="038C6EF9"/>
    <w:rsid w:val="038E2E18"/>
    <w:rsid w:val="038F1DC9"/>
    <w:rsid w:val="03944A19"/>
    <w:rsid w:val="039545AE"/>
    <w:rsid w:val="03995C8A"/>
    <w:rsid w:val="03A4198E"/>
    <w:rsid w:val="03AD0569"/>
    <w:rsid w:val="03AF5D06"/>
    <w:rsid w:val="03B84733"/>
    <w:rsid w:val="03BA4249"/>
    <w:rsid w:val="03C74561"/>
    <w:rsid w:val="03CE5373"/>
    <w:rsid w:val="03D11A1D"/>
    <w:rsid w:val="03D61EA0"/>
    <w:rsid w:val="03D974C6"/>
    <w:rsid w:val="03DC24B8"/>
    <w:rsid w:val="03E54BD6"/>
    <w:rsid w:val="03E73A64"/>
    <w:rsid w:val="03E82126"/>
    <w:rsid w:val="03F63AEF"/>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A5528"/>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A558D5"/>
    <w:rsid w:val="05A94C73"/>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53D67"/>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72BD3"/>
    <w:rsid w:val="06373C35"/>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70906C4"/>
    <w:rsid w:val="07114B7A"/>
    <w:rsid w:val="071278E7"/>
    <w:rsid w:val="07186D56"/>
    <w:rsid w:val="072033BE"/>
    <w:rsid w:val="0721733B"/>
    <w:rsid w:val="07251E9C"/>
    <w:rsid w:val="07263238"/>
    <w:rsid w:val="072B2FCC"/>
    <w:rsid w:val="07335A3D"/>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A7470"/>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55FE4"/>
    <w:rsid w:val="08594EDF"/>
    <w:rsid w:val="085B296F"/>
    <w:rsid w:val="08625F26"/>
    <w:rsid w:val="08655CD7"/>
    <w:rsid w:val="086B2DB5"/>
    <w:rsid w:val="086B5DA6"/>
    <w:rsid w:val="086C2511"/>
    <w:rsid w:val="08754A81"/>
    <w:rsid w:val="087B70D7"/>
    <w:rsid w:val="087B7B82"/>
    <w:rsid w:val="088376E1"/>
    <w:rsid w:val="088722D5"/>
    <w:rsid w:val="089055A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E3F6C"/>
    <w:rsid w:val="098147F0"/>
    <w:rsid w:val="098A3FEF"/>
    <w:rsid w:val="098F49D9"/>
    <w:rsid w:val="09A211FD"/>
    <w:rsid w:val="09A22CB0"/>
    <w:rsid w:val="09A33D5F"/>
    <w:rsid w:val="09B17802"/>
    <w:rsid w:val="09B64FB7"/>
    <w:rsid w:val="09BE27FD"/>
    <w:rsid w:val="09C208A7"/>
    <w:rsid w:val="09D867C7"/>
    <w:rsid w:val="09DA2E15"/>
    <w:rsid w:val="09DC6D7F"/>
    <w:rsid w:val="09E0589C"/>
    <w:rsid w:val="09EA2D1D"/>
    <w:rsid w:val="09EB7ACF"/>
    <w:rsid w:val="09F019FA"/>
    <w:rsid w:val="09F27747"/>
    <w:rsid w:val="09F54E7B"/>
    <w:rsid w:val="09F843AA"/>
    <w:rsid w:val="09FC238F"/>
    <w:rsid w:val="09FF4E1C"/>
    <w:rsid w:val="0A03095D"/>
    <w:rsid w:val="0A0310A5"/>
    <w:rsid w:val="0A031353"/>
    <w:rsid w:val="0A090E68"/>
    <w:rsid w:val="0A0946E5"/>
    <w:rsid w:val="0A0F1C7A"/>
    <w:rsid w:val="0A0F75F4"/>
    <w:rsid w:val="0A1462E4"/>
    <w:rsid w:val="0A1737AA"/>
    <w:rsid w:val="0A265C5E"/>
    <w:rsid w:val="0A3A062B"/>
    <w:rsid w:val="0A3C576A"/>
    <w:rsid w:val="0A3F2D2D"/>
    <w:rsid w:val="0A47596A"/>
    <w:rsid w:val="0A4F006D"/>
    <w:rsid w:val="0A534E7E"/>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54CAA"/>
    <w:rsid w:val="0B28501B"/>
    <w:rsid w:val="0B2E0454"/>
    <w:rsid w:val="0B311E8B"/>
    <w:rsid w:val="0B316748"/>
    <w:rsid w:val="0B3440C0"/>
    <w:rsid w:val="0B361B74"/>
    <w:rsid w:val="0B3B65E0"/>
    <w:rsid w:val="0B3C005F"/>
    <w:rsid w:val="0B5527AB"/>
    <w:rsid w:val="0B594D3B"/>
    <w:rsid w:val="0B65171B"/>
    <w:rsid w:val="0B6B272A"/>
    <w:rsid w:val="0B6C1381"/>
    <w:rsid w:val="0B6D1F77"/>
    <w:rsid w:val="0B723D3E"/>
    <w:rsid w:val="0B75278F"/>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07935"/>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E95B0D"/>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1FC1"/>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21A5E"/>
    <w:rsid w:val="0EB255FF"/>
    <w:rsid w:val="0EB66E2D"/>
    <w:rsid w:val="0EBC12A1"/>
    <w:rsid w:val="0EC21AFD"/>
    <w:rsid w:val="0EC34586"/>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91690"/>
    <w:rsid w:val="0F2566D6"/>
    <w:rsid w:val="0F334F38"/>
    <w:rsid w:val="0F374D10"/>
    <w:rsid w:val="0F390E3D"/>
    <w:rsid w:val="0F3B729A"/>
    <w:rsid w:val="0F447483"/>
    <w:rsid w:val="0F477871"/>
    <w:rsid w:val="0F477973"/>
    <w:rsid w:val="0F4B3454"/>
    <w:rsid w:val="0F521E2E"/>
    <w:rsid w:val="0F5313BA"/>
    <w:rsid w:val="0F5446B1"/>
    <w:rsid w:val="0F566F25"/>
    <w:rsid w:val="0F5801E9"/>
    <w:rsid w:val="0F5C4C71"/>
    <w:rsid w:val="0F5E7046"/>
    <w:rsid w:val="0F675A2D"/>
    <w:rsid w:val="0F8116C6"/>
    <w:rsid w:val="0F8C091A"/>
    <w:rsid w:val="0F927670"/>
    <w:rsid w:val="0F977AA3"/>
    <w:rsid w:val="0F9D2A7E"/>
    <w:rsid w:val="0F9D727A"/>
    <w:rsid w:val="0FA54926"/>
    <w:rsid w:val="0FA560D5"/>
    <w:rsid w:val="0FB47B8F"/>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D77C9"/>
    <w:rsid w:val="100F5ECF"/>
    <w:rsid w:val="10123E88"/>
    <w:rsid w:val="10171D38"/>
    <w:rsid w:val="10173B20"/>
    <w:rsid w:val="101B4B2B"/>
    <w:rsid w:val="101F001F"/>
    <w:rsid w:val="10205E6C"/>
    <w:rsid w:val="10214450"/>
    <w:rsid w:val="102C7B17"/>
    <w:rsid w:val="103F7BBC"/>
    <w:rsid w:val="1046747A"/>
    <w:rsid w:val="104F503B"/>
    <w:rsid w:val="106104D8"/>
    <w:rsid w:val="10614B4D"/>
    <w:rsid w:val="106807AB"/>
    <w:rsid w:val="10697106"/>
    <w:rsid w:val="106B777A"/>
    <w:rsid w:val="106D07A5"/>
    <w:rsid w:val="1070251A"/>
    <w:rsid w:val="10760674"/>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1E4F01"/>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024B"/>
    <w:rsid w:val="116A3787"/>
    <w:rsid w:val="11720AC2"/>
    <w:rsid w:val="1172122A"/>
    <w:rsid w:val="11732778"/>
    <w:rsid w:val="1173603F"/>
    <w:rsid w:val="117525C4"/>
    <w:rsid w:val="11767657"/>
    <w:rsid w:val="11781DFA"/>
    <w:rsid w:val="11807847"/>
    <w:rsid w:val="118457F6"/>
    <w:rsid w:val="118828CF"/>
    <w:rsid w:val="118B7CC4"/>
    <w:rsid w:val="118C46DA"/>
    <w:rsid w:val="11997C59"/>
    <w:rsid w:val="119C29A2"/>
    <w:rsid w:val="119D62CE"/>
    <w:rsid w:val="119E62B1"/>
    <w:rsid w:val="11A36C23"/>
    <w:rsid w:val="11AC1DF6"/>
    <w:rsid w:val="11AC79D2"/>
    <w:rsid w:val="11AF7D17"/>
    <w:rsid w:val="11B7574C"/>
    <w:rsid w:val="11BA75D3"/>
    <w:rsid w:val="11C16227"/>
    <w:rsid w:val="11C350F3"/>
    <w:rsid w:val="11C50404"/>
    <w:rsid w:val="11C5334A"/>
    <w:rsid w:val="11C8195E"/>
    <w:rsid w:val="11C83FF7"/>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1656B2"/>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90599"/>
    <w:rsid w:val="129C4B1E"/>
    <w:rsid w:val="12A13BDA"/>
    <w:rsid w:val="12A142E5"/>
    <w:rsid w:val="12A8272F"/>
    <w:rsid w:val="12AC6C59"/>
    <w:rsid w:val="12AE2A22"/>
    <w:rsid w:val="12B209E5"/>
    <w:rsid w:val="12B43E24"/>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34E54"/>
    <w:rsid w:val="138C3BB4"/>
    <w:rsid w:val="138E21E8"/>
    <w:rsid w:val="13A46633"/>
    <w:rsid w:val="13A53E20"/>
    <w:rsid w:val="13A57CC6"/>
    <w:rsid w:val="13A64D44"/>
    <w:rsid w:val="13A71807"/>
    <w:rsid w:val="13AA36AA"/>
    <w:rsid w:val="13AA72DA"/>
    <w:rsid w:val="13AE4A5F"/>
    <w:rsid w:val="13B4098E"/>
    <w:rsid w:val="13B62320"/>
    <w:rsid w:val="13C673D1"/>
    <w:rsid w:val="13C812E8"/>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7641C"/>
    <w:rsid w:val="158A42AA"/>
    <w:rsid w:val="15903990"/>
    <w:rsid w:val="159A2718"/>
    <w:rsid w:val="159A616F"/>
    <w:rsid w:val="15A16B2A"/>
    <w:rsid w:val="15A36994"/>
    <w:rsid w:val="15A47359"/>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5F80CE0"/>
    <w:rsid w:val="15FF7F39"/>
    <w:rsid w:val="160856FA"/>
    <w:rsid w:val="161053FC"/>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17E3F"/>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EE2723"/>
    <w:rsid w:val="18F03C02"/>
    <w:rsid w:val="18F44372"/>
    <w:rsid w:val="18F73D37"/>
    <w:rsid w:val="19022465"/>
    <w:rsid w:val="19087E5A"/>
    <w:rsid w:val="190A5AAB"/>
    <w:rsid w:val="190B365E"/>
    <w:rsid w:val="190B5982"/>
    <w:rsid w:val="190E24A2"/>
    <w:rsid w:val="190F246E"/>
    <w:rsid w:val="1910107B"/>
    <w:rsid w:val="19125308"/>
    <w:rsid w:val="1919445B"/>
    <w:rsid w:val="19262FF3"/>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78A1"/>
    <w:rsid w:val="1A574E8B"/>
    <w:rsid w:val="1A5A027E"/>
    <w:rsid w:val="1A5B332D"/>
    <w:rsid w:val="1A5D418F"/>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97F6B"/>
    <w:rsid w:val="1B3A63E1"/>
    <w:rsid w:val="1B3B1E3D"/>
    <w:rsid w:val="1B3B44BF"/>
    <w:rsid w:val="1B3F232C"/>
    <w:rsid w:val="1B435219"/>
    <w:rsid w:val="1B452832"/>
    <w:rsid w:val="1B517050"/>
    <w:rsid w:val="1B55429F"/>
    <w:rsid w:val="1B5C4B10"/>
    <w:rsid w:val="1B676B44"/>
    <w:rsid w:val="1B6B6632"/>
    <w:rsid w:val="1B6F4CAB"/>
    <w:rsid w:val="1B7D6CAD"/>
    <w:rsid w:val="1B8474D6"/>
    <w:rsid w:val="1B977DE2"/>
    <w:rsid w:val="1B9A19C7"/>
    <w:rsid w:val="1B9D1CD8"/>
    <w:rsid w:val="1BA11EB8"/>
    <w:rsid w:val="1BA43A43"/>
    <w:rsid w:val="1BA500AA"/>
    <w:rsid w:val="1BA65768"/>
    <w:rsid w:val="1BAD3EDE"/>
    <w:rsid w:val="1BB07692"/>
    <w:rsid w:val="1BB2123C"/>
    <w:rsid w:val="1BBA4777"/>
    <w:rsid w:val="1BBC69DC"/>
    <w:rsid w:val="1BBF70DC"/>
    <w:rsid w:val="1BD3282F"/>
    <w:rsid w:val="1BD40132"/>
    <w:rsid w:val="1BD40EFB"/>
    <w:rsid w:val="1BD6379A"/>
    <w:rsid w:val="1BD77F25"/>
    <w:rsid w:val="1BD85300"/>
    <w:rsid w:val="1BD93FE1"/>
    <w:rsid w:val="1BDF06EA"/>
    <w:rsid w:val="1BE05A00"/>
    <w:rsid w:val="1BE60A89"/>
    <w:rsid w:val="1BED5DF9"/>
    <w:rsid w:val="1BF6094C"/>
    <w:rsid w:val="1BFC4EEB"/>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797A"/>
    <w:rsid w:val="1C5245A7"/>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03A43"/>
    <w:rsid w:val="1DB447C8"/>
    <w:rsid w:val="1DB80A24"/>
    <w:rsid w:val="1DBF1E64"/>
    <w:rsid w:val="1DC00537"/>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04FED"/>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02374"/>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5F780B"/>
    <w:rsid w:val="20633817"/>
    <w:rsid w:val="207A7253"/>
    <w:rsid w:val="207D2005"/>
    <w:rsid w:val="207F108A"/>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CF43B0"/>
    <w:rsid w:val="20D50E20"/>
    <w:rsid w:val="20D717F1"/>
    <w:rsid w:val="20DB4340"/>
    <w:rsid w:val="20E30CFA"/>
    <w:rsid w:val="20EF51C8"/>
    <w:rsid w:val="20F05924"/>
    <w:rsid w:val="20F13F32"/>
    <w:rsid w:val="20F453F7"/>
    <w:rsid w:val="20F54434"/>
    <w:rsid w:val="20F627FE"/>
    <w:rsid w:val="20F81429"/>
    <w:rsid w:val="20FD6D18"/>
    <w:rsid w:val="20FE48A8"/>
    <w:rsid w:val="20FE4BBD"/>
    <w:rsid w:val="2103608A"/>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C6B87"/>
    <w:rsid w:val="216D2FFC"/>
    <w:rsid w:val="2175003E"/>
    <w:rsid w:val="217A71B3"/>
    <w:rsid w:val="217C6EC7"/>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5678C"/>
    <w:rsid w:val="21E8009D"/>
    <w:rsid w:val="21EC66F9"/>
    <w:rsid w:val="21F27385"/>
    <w:rsid w:val="21F477AF"/>
    <w:rsid w:val="21F80754"/>
    <w:rsid w:val="21FD1F93"/>
    <w:rsid w:val="2203212D"/>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32E6A"/>
    <w:rsid w:val="24054AA6"/>
    <w:rsid w:val="24055D97"/>
    <w:rsid w:val="240C233A"/>
    <w:rsid w:val="240F66A9"/>
    <w:rsid w:val="24107D2B"/>
    <w:rsid w:val="241157A7"/>
    <w:rsid w:val="24191D8F"/>
    <w:rsid w:val="241A0D14"/>
    <w:rsid w:val="242148AF"/>
    <w:rsid w:val="24373F32"/>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5513D2"/>
    <w:rsid w:val="255A50C8"/>
    <w:rsid w:val="255B49B3"/>
    <w:rsid w:val="255C1932"/>
    <w:rsid w:val="255E294F"/>
    <w:rsid w:val="255E6C6C"/>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E7808"/>
    <w:rsid w:val="25E10B12"/>
    <w:rsid w:val="25E6527D"/>
    <w:rsid w:val="25F758CB"/>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14E2B"/>
    <w:rsid w:val="26916DB8"/>
    <w:rsid w:val="269355F4"/>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47913"/>
    <w:rsid w:val="27653B8D"/>
    <w:rsid w:val="276B0663"/>
    <w:rsid w:val="276C47FF"/>
    <w:rsid w:val="2773738D"/>
    <w:rsid w:val="277973C8"/>
    <w:rsid w:val="27880564"/>
    <w:rsid w:val="278C4BFF"/>
    <w:rsid w:val="278E5245"/>
    <w:rsid w:val="279025EE"/>
    <w:rsid w:val="27924A6D"/>
    <w:rsid w:val="27992850"/>
    <w:rsid w:val="27AA4362"/>
    <w:rsid w:val="27AF12EF"/>
    <w:rsid w:val="27B47525"/>
    <w:rsid w:val="27BF67BA"/>
    <w:rsid w:val="27C04AAA"/>
    <w:rsid w:val="27C07D92"/>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835EF3"/>
    <w:rsid w:val="299B07C3"/>
    <w:rsid w:val="299B6E36"/>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375A0"/>
    <w:rsid w:val="2D064B26"/>
    <w:rsid w:val="2D086932"/>
    <w:rsid w:val="2D104632"/>
    <w:rsid w:val="2D3072FE"/>
    <w:rsid w:val="2D31028B"/>
    <w:rsid w:val="2D356F9E"/>
    <w:rsid w:val="2D3C2256"/>
    <w:rsid w:val="2D416432"/>
    <w:rsid w:val="2D420181"/>
    <w:rsid w:val="2D4462AF"/>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685C92"/>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27D89"/>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7241A"/>
    <w:rsid w:val="2F285092"/>
    <w:rsid w:val="2F2A538F"/>
    <w:rsid w:val="2F2C5D09"/>
    <w:rsid w:val="2F2F2FBB"/>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CF3946"/>
    <w:rsid w:val="2FD73D5F"/>
    <w:rsid w:val="2FDF68B6"/>
    <w:rsid w:val="2FE424EB"/>
    <w:rsid w:val="2FE465CC"/>
    <w:rsid w:val="2FEA0C32"/>
    <w:rsid w:val="2FED56B0"/>
    <w:rsid w:val="2FF657DC"/>
    <w:rsid w:val="2FFA4EB6"/>
    <w:rsid w:val="300E5103"/>
    <w:rsid w:val="30132A83"/>
    <w:rsid w:val="30243ECE"/>
    <w:rsid w:val="302E2308"/>
    <w:rsid w:val="3036574D"/>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914CE"/>
    <w:rsid w:val="30DD5BC9"/>
    <w:rsid w:val="30E31EEB"/>
    <w:rsid w:val="30E64CA0"/>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46EA4"/>
    <w:rsid w:val="31854832"/>
    <w:rsid w:val="31884274"/>
    <w:rsid w:val="318949FD"/>
    <w:rsid w:val="318B0F4D"/>
    <w:rsid w:val="318E5084"/>
    <w:rsid w:val="318E6312"/>
    <w:rsid w:val="31913100"/>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0C1AB7"/>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603716"/>
    <w:rsid w:val="32667CE0"/>
    <w:rsid w:val="326B5802"/>
    <w:rsid w:val="326C6CF3"/>
    <w:rsid w:val="32732916"/>
    <w:rsid w:val="3279408A"/>
    <w:rsid w:val="327C3D6F"/>
    <w:rsid w:val="327E4D99"/>
    <w:rsid w:val="328D3719"/>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975AE0"/>
    <w:rsid w:val="339A4201"/>
    <w:rsid w:val="339F0C62"/>
    <w:rsid w:val="33AA3EDC"/>
    <w:rsid w:val="33AF0B34"/>
    <w:rsid w:val="33B3256A"/>
    <w:rsid w:val="33B94573"/>
    <w:rsid w:val="33BC1F56"/>
    <w:rsid w:val="33C748AE"/>
    <w:rsid w:val="33C75909"/>
    <w:rsid w:val="33CC3A8B"/>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358E1"/>
    <w:rsid w:val="34B72433"/>
    <w:rsid w:val="34B967A5"/>
    <w:rsid w:val="34C037F6"/>
    <w:rsid w:val="34CC14A4"/>
    <w:rsid w:val="34CF701B"/>
    <w:rsid w:val="34D315B0"/>
    <w:rsid w:val="34E86316"/>
    <w:rsid w:val="34EE3576"/>
    <w:rsid w:val="34F17EC9"/>
    <w:rsid w:val="34FA344D"/>
    <w:rsid w:val="34FA42B7"/>
    <w:rsid w:val="34FF7FD7"/>
    <w:rsid w:val="35017F79"/>
    <w:rsid w:val="35041BFF"/>
    <w:rsid w:val="350C4C89"/>
    <w:rsid w:val="351E7FCA"/>
    <w:rsid w:val="351F04F0"/>
    <w:rsid w:val="351F2311"/>
    <w:rsid w:val="351F7E03"/>
    <w:rsid w:val="35206711"/>
    <w:rsid w:val="352612FC"/>
    <w:rsid w:val="352D1F24"/>
    <w:rsid w:val="352D7415"/>
    <w:rsid w:val="3531792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A444A3"/>
    <w:rsid w:val="35A84558"/>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22ACA"/>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64010"/>
    <w:rsid w:val="37CA282F"/>
    <w:rsid w:val="37CB1389"/>
    <w:rsid w:val="37D005B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4E5050"/>
    <w:rsid w:val="39506734"/>
    <w:rsid w:val="395A6D19"/>
    <w:rsid w:val="395D0E21"/>
    <w:rsid w:val="39623B52"/>
    <w:rsid w:val="397061BB"/>
    <w:rsid w:val="397319FF"/>
    <w:rsid w:val="39731B12"/>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9FA4160"/>
    <w:rsid w:val="3A001D3B"/>
    <w:rsid w:val="3A016BF0"/>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F36AE"/>
    <w:rsid w:val="3AB06715"/>
    <w:rsid w:val="3AC351F1"/>
    <w:rsid w:val="3AC91008"/>
    <w:rsid w:val="3ACB36E9"/>
    <w:rsid w:val="3ACB7871"/>
    <w:rsid w:val="3ACE6056"/>
    <w:rsid w:val="3AD028B4"/>
    <w:rsid w:val="3AD34546"/>
    <w:rsid w:val="3AD847A7"/>
    <w:rsid w:val="3ADA3867"/>
    <w:rsid w:val="3AE15E3F"/>
    <w:rsid w:val="3AEC72C2"/>
    <w:rsid w:val="3AEF76B1"/>
    <w:rsid w:val="3AF27012"/>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E4D98"/>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7382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DD19EF"/>
    <w:rsid w:val="3CE03540"/>
    <w:rsid w:val="3CE35325"/>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709E7"/>
    <w:rsid w:val="3D7845E4"/>
    <w:rsid w:val="3D7A0B27"/>
    <w:rsid w:val="3D7D024E"/>
    <w:rsid w:val="3D806AC3"/>
    <w:rsid w:val="3D8438BD"/>
    <w:rsid w:val="3D8B02DF"/>
    <w:rsid w:val="3D9E5E72"/>
    <w:rsid w:val="3DA009B3"/>
    <w:rsid w:val="3DA009CC"/>
    <w:rsid w:val="3DA13551"/>
    <w:rsid w:val="3DA3195E"/>
    <w:rsid w:val="3DA54FB2"/>
    <w:rsid w:val="3DA5644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27B82"/>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26825"/>
    <w:rsid w:val="3F2A5507"/>
    <w:rsid w:val="3F2C65EA"/>
    <w:rsid w:val="3F3B6E0A"/>
    <w:rsid w:val="3F3F1578"/>
    <w:rsid w:val="3F484DDE"/>
    <w:rsid w:val="3F495688"/>
    <w:rsid w:val="3F505F3F"/>
    <w:rsid w:val="3F5756A6"/>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6137B"/>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A3DA7"/>
    <w:rsid w:val="429F313B"/>
    <w:rsid w:val="429F6653"/>
    <w:rsid w:val="42AC06F3"/>
    <w:rsid w:val="42B302EA"/>
    <w:rsid w:val="42B61338"/>
    <w:rsid w:val="42B90AAB"/>
    <w:rsid w:val="42C5009E"/>
    <w:rsid w:val="42C92A69"/>
    <w:rsid w:val="42C96A82"/>
    <w:rsid w:val="42CF6EF1"/>
    <w:rsid w:val="42D604C8"/>
    <w:rsid w:val="42D72C00"/>
    <w:rsid w:val="42DE315A"/>
    <w:rsid w:val="42DF35C8"/>
    <w:rsid w:val="42E518DC"/>
    <w:rsid w:val="42E85051"/>
    <w:rsid w:val="42E9081C"/>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00CA6"/>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20312"/>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A79CA"/>
    <w:rsid w:val="454F23C2"/>
    <w:rsid w:val="45500C3F"/>
    <w:rsid w:val="455A0801"/>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EE7BAC"/>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A014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56FBD"/>
    <w:rsid w:val="49871D7B"/>
    <w:rsid w:val="49885C59"/>
    <w:rsid w:val="498A257F"/>
    <w:rsid w:val="4995687C"/>
    <w:rsid w:val="4998544E"/>
    <w:rsid w:val="499D4802"/>
    <w:rsid w:val="49A45FDD"/>
    <w:rsid w:val="49A61B96"/>
    <w:rsid w:val="49B20B48"/>
    <w:rsid w:val="49B55D27"/>
    <w:rsid w:val="49B83EAA"/>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5E86"/>
    <w:rsid w:val="4A357040"/>
    <w:rsid w:val="4A3B0DBF"/>
    <w:rsid w:val="4A3C074A"/>
    <w:rsid w:val="4A3C3645"/>
    <w:rsid w:val="4A401246"/>
    <w:rsid w:val="4A417E42"/>
    <w:rsid w:val="4A4C22EF"/>
    <w:rsid w:val="4A535B24"/>
    <w:rsid w:val="4A545D35"/>
    <w:rsid w:val="4A58603B"/>
    <w:rsid w:val="4A5B7FD1"/>
    <w:rsid w:val="4A672F5C"/>
    <w:rsid w:val="4A682857"/>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F2B5B"/>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C02EC"/>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300A96"/>
    <w:rsid w:val="4C366339"/>
    <w:rsid w:val="4C3900BA"/>
    <w:rsid w:val="4C3972A1"/>
    <w:rsid w:val="4C443324"/>
    <w:rsid w:val="4C49535A"/>
    <w:rsid w:val="4C4A1538"/>
    <w:rsid w:val="4C4B5CF1"/>
    <w:rsid w:val="4C4C000A"/>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77F7C"/>
    <w:rsid w:val="4CB81B12"/>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1738F"/>
    <w:rsid w:val="4DC92356"/>
    <w:rsid w:val="4DC945C5"/>
    <w:rsid w:val="4DCC1254"/>
    <w:rsid w:val="4DD6753F"/>
    <w:rsid w:val="4DE100E7"/>
    <w:rsid w:val="4DE52367"/>
    <w:rsid w:val="4DF57D5B"/>
    <w:rsid w:val="4DFB4AE2"/>
    <w:rsid w:val="4DFF0566"/>
    <w:rsid w:val="4E0D58F7"/>
    <w:rsid w:val="4E101469"/>
    <w:rsid w:val="4E170C0E"/>
    <w:rsid w:val="4E17118C"/>
    <w:rsid w:val="4E2B2FCF"/>
    <w:rsid w:val="4E333BB5"/>
    <w:rsid w:val="4E357F6B"/>
    <w:rsid w:val="4E371BF7"/>
    <w:rsid w:val="4E3D26A2"/>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6E9E"/>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7727A"/>
    <w:rsid w:val="50290847"/>
    <w:rsid w:val="503175D5"/>
    <w:rsid w:val="5034215C"/>
    <w:rsid w:val="503625F2"/>
    <w:rsid w:val="503A6544"/>
    <w:rsid w:val="503C53AC"/>
    <w:rsid w:val="50440EE8"/>
    <w:rsid w:val="5046799C"/>
    <w:rsid w:val="50535CB7"/>
    <w:rsid w:val="505A42A1"/>
    <w:rsid w:val="505B684C"/>
    <w:rsid w:val="50697F59"/>
    <w:rsid w:val="50710328"/>
    <w:rsid w:val="50715A85"/>
    <w:rsid w:val="50734618"/>
    <w:rsid w:val="5073496F"/>
    <w:rsid w:val="50984F82"/>
    <w:rsid w:val="509B0639"/>
    <w:rsid w:val="509E1153"/>
    <w:rsid w:val="50A22AE8"/>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822DB"/>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3194"/>
    <w:rsid w:val="52365463"/>
    <w:rsid w:val="5237135B"/>
    <w:rsid w:val="5240020F"/>
    <w:rsid w:val="5247336B"/>
    <w:rsid w:val="524A5C68"/>
    <w:rsid w:val="52532968"/>
    <w:rsid w:val="52546140"/>
    <w:rsid w:val="525D3774"/>
    <w:rsid w:val="525D5F17"/>
    <w:rsid w:val="525F53B1"/>
    <w:rsid w:val="52643DC8"/>
    <w:rsid w:val="526D0958"/>
    <w:rsid w:val="52734368"/>
    <w:rsid w:val="527A3BA6"/>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1799E"/>
    <w:rsid w:val="5614039E"/>
    <w:rsid w:val="561978EB"/>
    <w:rsid w:val="561D0938"/>
    <w:rsid w:val="56254844"/>
    <w:rsid w:val="562C48A4"/>
    <w:rsid w:val="562E289A"/>
    <w:rsid w:val="56324964"/>
    <w:rsid w:val="5635337A"/>
    <w:rsid w:val="563B1048"/>
    <w:rsid w:val="563C2D0A"/>
    <w:rsid w:val="563F1C04"/>
    <w:rsid w:val="5646524C"/>
    <w:rsid w:val="5649734E"/>
    <w:rsid w:val="564E3688"/>
    <w:rsid w:val="56514294"/>
    <w:rsid w:val="566355DD"/>
    <w:rsid w:val="56680BC9"/>
    <w:rsid w:val="566926ED"/>
    <w:rsid w:val="567043C4"/>
    <w:rsid w:val="567119B3"/>
    <w:rsid w:val="567636B0"/>
    <w:rsid w:val="567F4D05"/>
    <w:rsid w:val="568363E1"/>
    <w:rsid w:val="568F72CF"/>
    <w:rsid w:val="569C6BE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650A3D"/>
    <w:rsid w:val="57711DF8"/>
    <w:rsid w:val="577269D1"/>
    <w:rsid w:val="577D7C19"/>
    <w:rsid w:val="577E73CA"/>
    <w:rsid w:val="578474C5"/>
    <w:rsid w:val="57883154"/>
    <w:rsid w:val="578F659F"/>
    <w:rsid w:val="57943461"/>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0437A"/>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4568B"/>
    <w:rsid w:val="5AC465B0"/>
    <w:rsid w:val="5AC9126A"/>
    <w:rsid w:val="5ACB4402"/>
    <w:rsid w:val="5ACD5F94"/>
    <w:rsid w:val="5AD004C7"/>
    <w:rsid w:val="5AD140B1"/>
    <w:rsid w:val="5AD70A48"/>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63956"/>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857C0"/>
    <w:rsid w:val="5BAF0D57"/>
    <w:rsid w:val="5BBC3894"/>
    <w:rsid w:val="5BBC7CD9"/>
    <w:rsid w:val="5BC02424"/>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0D08D2"/>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81A7E"/>
    <w:rsid w:val="5DA81B3F"/>
    <w:rsid w:val="5DB62AA6"/>
    <w:rsid w:val="5DB76529"/>
    <w:rsid w:val="5DC0151D"/>
    <w:rsid w:val="5DC53FF5"/>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946B2"/>
    <w:rsid w:val="5DFA04F6"/>
    <w:rsid w:val="5E034523"/>
    <w:rsid w:val="5E090D92"/>
    <w:rsid w:val="5E0F732F"/>
    <w:rsid w:val="5E146038"/>
    <w:rsid w:val="5E2D2F8F"/>
    <w:rsid w:val="5E2E257F"/>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E9054F"/>
    <w:rsid w:val="5FEE01B5"/>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E12A4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42FEE"/>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A63EB"/>
    <w:rsid w:val="6385218B"/>
    <w:rsid w:val="638541CF"/>
    <w:rsid w:val="63864A92"/>
    <w:rsid w:val="639154D4"/>
    <w:rsid w:val="639A0875"/>
    <w:rsid w:val="639B71D2"/>
    <w:rsid w:val="639E3C88"/>
    <w:rsid w:val="63A17DFD"/>
    <w:rsid w:val="63AB1FE1"/>
    <w:rsid w:val="63B01ED8"/>
    <w:rsid w:val="63B5452C"/>
    <w:rsid w:val="63B76AE2"/>
    <w:rsid w:val="63BD439C"/>
    <w:rsid w:val="63BD7C68"/>
    <w:rsid w:val="63C41DD1"/>
    <w:rsid w:val="63C72372"/>
    <w:rsid w:val="63C977A8"/>
    <w:rsid w:val="63D25757"/>
    <w:rsid w:val="63D32D5D"/>
    <w:rsid w:val="63D72CE7"/>
    <w:rsid w:val="63E03FEA"/>
    <w:rsid w:val="63E33D27"/>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4B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9040B2"/>
    <w:rsid w:val="64932164"/>
    <w:rsid w:val="64990A00"/>
    <w:rsid w:val="649C4ECA"/>
    <w:rsid w:val="64AB6B0F"/>
    <w:rsid w:val="64AD64C8"/>
    <w:rsid w:val="64AE4EA4"/>
    <w:rsid w:val="64B11EFC"/>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06756"/>
    <w:rsid w:val="65745028"/>
    <w:rsid w:val="65776C14"/>
    <w:rsid w:val="65786867"/>
    <w:rsid w:val="657C01A2"/>
    <w:rsid w:val="657D055C"/>
    <w:rsid w:val="65880D68"/>
    <w:rsid w:val="6588700C"/>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511C9"/>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B6CBC"/>
    <w:rsid w:val="689E1B95"/>
    <w:rsid w:val="689F4CC7"/>
    <w:rsid w:val="68A01296"/>
    <w:rsid w:val="68A41E22"/>
    <w:rsid w:val="68A60186"/>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15234"/>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553AF"/>
    <w:rsid w:val="6B777900"/>
    <w:rsid w:val="6B7A615E"/>
    <w:rsid w:val="6B7E0908"/>
    <w:rsid w:val="6B842643"/>
    <w:rsid w:val="6B8E6F7C"/>
    <w:rsid w:val="6B8E767A"/>
    <w:rsid w:val="6B923B2B"/>
    <w:rsid w:val="6B9429D1"/>
    <w:rsid w:val="6B98025A"/>
    <w:rsid w:val="6B9C3C63"/>
    <w:rsid w:val="6BA31A09"/>
    <w:rsid w:val="6BA75497"/>
    <w:rsid w:val="6BA9582F"/>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7790B"/>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D7B23"/>
    <w:rsid w:val="6DB43CBF"/>
    <w:rsid w:val="6DB65267"/>
    <w:rsid w:val="6DBE7C28"/>
    <w:rsid w:val="6DC32A73"/>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E3054"/>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7F84"/>
    <w:rsid w:val="704622D4"/>
    <w:rsid w:val="704E2703"/>
    <w:rsid w:val="7051307E"/>
    <w:rsid w:val="70513178"/>
    <w:rsid w:val="70515849"/>
    <w:rsid w:val="705D090C"/>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6099D"/>
    <w:rsid w:val="722B6D3C"/>
    <w:rsid w:val="72314763"/>
    <w:rsid w:val="723A16A4"/>
    <w:rsid w:val="723B0B95"/>
    <w:rsid w:val="723B52B8"/>
    <w:rsid w:val="724A4324"/>
    <w:rsid w:val="724D6F66"/>
    <w:rsid w:val="72522723"/>
    <w:rsid w:val="72526D2A"/>
    <w:rsid w:val="725340BD"/>
    <w:rsid w:val="72542A36"/>
    <w:rsid w:val="72555383"/>
    <w:rsid w:val="725B002B"/>
    <w:rsid w:val="726373ED"/>
    <w:rsid w:val="726843AE"/>
    <w:rsid w:val="72751836"/>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301303C"/>
    <w:rsid w:val="73024E04"/>
    <w:rsid w:val="730B0185"/>
    <w:rsid w:val="730B2912"/>
    <w:rsid w:val="73117F42"/>
    <w:rsid w:val="73130C07"/>
    <w:rsid w:val="731829E1"/>
    <w:rsid w:val="73266F63"/>
    <w:rsid w:val="732A69D2"/>
    <w:rsid w:val="732E73B4"/>
    <w:rsid w:val="732F0552"/>
    <w:rsid w:val="73353A9D"/>
    <w:rsid w:val="733574BF"/>
    <w:rsid w:val="733A4AF0"/>
    <w:rsid w:val="733E5133"/>
    <w:rsid w:val="73470963"/>
    <w:rsid w:val="734B783B"/>
    <w:rsid w:val="73606A76"/>
    <w:rsid w:val="73640D2D"/>
    <w:rsid w:val="73664C31"/>
    <w:rsid w:val="736F39A6"/>
    <w:rsid w:val="737773BC"/>
    <w:rsid w:val="73803D51"/>
    <w:rsid w:val="73825C14"/>
    <w:rsid w:val="738264F3"/>
    <w:rsid w:val="73833688"/>
    <w:rsid w:val="73847541"/>
    <w:rsid w:val="738B78DE"/>
    <w:rsid w:val="738E0824"/>
    <w:rsid w:val="738F3A55"/>
    <w:rsid w:val="739942FF"/>
    <w:rsid w:val="73A760F2"/>
    <w:rsid w:val="73B00CC3"/>
    <w:rsid w:val="73B06C67"/>
    <w:rsid w:val="73BD2509"/>
    <w:rsid w:val="73C55A94"/>
    <w:rsid w:val="73D63DCA"/>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505F8"/>
    <w:rsid w:val="758641B8"/>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B7495"/>
    <w:rsid w:val="75FC7D3B"/>
    <w:rsid w:val="75FE31D9"/>
    <w:rsid w:val="75FF0133"/>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5F3B6B"/>
    <w:rsid w:val="7669425E"/>
    <w:rsid w:val="766B3DFC"/>
    <w:rsid w:val="76710E80"/>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2BBE"/>
    <w:rsid w:val="77383244"/>
    <w:rsid w:val="773B28CF"/>
    <w:rsid w:val="77443794"/>
    <w:rsid w:val="77453002"/>
    <w:rsid w:val="77492C03"/>
    <w:rsid w:val="774F423A"/>
    <w:rsid w:val="774F7910"/>
    <w:rsid w:val="7756714D"/>
    <w:rsid w:val="77597E3E"/>
    <w:rsid w:val="77625740"/>
    <w:rsid w:val="7769549F"/>
    <w:rsid w:val="776C70D2"/>
    <w:rsid w:val="7770508C"/>
    <w:rsid w:val="77711C62"/>
    <w:rsid w:val="777224B9"/>
    <w:rsid w:val="777C4D24"/>
    <w:rsid w:val="778807C6"/>
    <w:rsid w:val="77883832"/>
    <w:rsid w:val="7789361D"/>
    <w:rsid w:val="778D3458"/>
    <w:rsid w:val="77905FA2"/>
    <w:rsid w:val="779B111F"/>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C62B7"/>
    <w:rsid w:val="781D006F"/>
    <w:rsid w:val="781F2405"/>
    <w:rsid w:val="78213084"/>
    <w:rsid w:val="78213648"/>
    <w:rsid w:val="782424D5"/>
    <w:rsid w:val="78287DBF"/>
    <w:rsid w:val="782F5A83"/>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6F0A8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468AD"/>
    <w:rsid w:val="7AC66B15"/>
    <w:rsid w:val="7AC94F89"/>
    <w:rsid w:val="7ACB0E71"/>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927CE"/>
    <w:rsid w:val="7C7B511D"/>
    <w:rsid w:val="7C7C0AB7"/>
    <w:rsid w:val="7C7C3178"/>
    <w:rsid w:val="7C7E4097"/>
    <w:rsid w:val="7C7F218D"/>
    <w:rsid w:val="7C833326"/>
    <w:rsid w:val="7C8B4BD5"/>
    <w:rsid w:val="7C90608C"/>
    <w:rsid w:val="7C997B87"/>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13A5A"/>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96858"/>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37A5B"/>
    <w:rsid w:val="7FC46393"/>
    <w:rsid w:val="7FC478B7"/>
    <w:rsid w:val="7FC622EC"/>
    <w:rsid w:val="7FC83CB0"/>
    <w:rsid w:val="7FCE31F6"/>
    <w:rsid w:val="7FDC2BA3"/>
    <w:rsid w:val="7FDD1879"/>
    <w:rsid w:val="7FE64B17"/>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5"/>
    <w:qFormat/>
    <w:uiPriority w:val="0"/>
    <w:pPr>
      <w:keepNext/>
      <w:keepLines/>
      <w:numPr>
        <w:ilvl w:val="1"/>
        <w:numId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numPr>
        <w:ilvl w:val="2"/>
      </w:numPr>
      <w:snapToGrid w:val="0"/>
      <w:spacing w:line="240" w:lineRule="auto"/>
      <w:ind w:left="0" w:firstLine="221" w:firstLineChars="100"/>
      <w:jc w:val="both"/>
      <w:outlineLvl w:val="2"/>
    </w:pPr>
    <w:rPr>
      <w:b/>
      <w:sz w:val="24"/>
    </w:rPr>
  </w:style>
  <w:style w:type="paragraph" w:styleId="5">
    <w:name w:val="heading 4"/>
    <w:basedOn w:val="4"/>
    <w:next w:val="1"/>
    <w:link w:val="65"/>
    <w:qFormat/>
    <w:uiPriority w:val="0"/>
    <w:pPr>
      <w:numPr>
        <w:ilvl w:val="3"/>
      </w:numPr>
      <w:overflowPunct w:val="0"/>
      <w:spacing w:after="0"/>
      <w:textAlignment w:val="baseline"/>
      <w:outlineLvl w:val="3"/>
    </w:pPr>
    <w:rPr>
      <w:sz w:val="28"/>
      <w:szCs w:val="28"/>
      <w:lang w:val="en-GB"/>
    </w:rPr>
  </w:style>
  <w:style w:type="paragraph" w:styleId="6">
    <w:name w:val="heading 5"/>
    <w:basedOn w:val="5"/>
    <w:next w:val="1"/>
    <w:link w:val="66"/>
    <w:qFormat/>
    <w:uiPriority w:val="0"/>
    <w:pPr>
      <w:numPr>
        <w:ilvl w:val="4"/>
      </w:num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100" w:leftChars="400" w:hanging="200" w:hangingChars="200"/>
      <w:contextualSpacing/>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5">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6">
    <w:name w:val="Document Map"/>
    <w:basedOn w:val="1"/>
    <w:link w:val="40"/>
    <w:unhideWhenUsed/>
    <w:qFormat/>
    <w:uiPriority w:val="99"/>
    <w:rPr>
      <w:rFonts w:ascii="宋体"/>
      <w:sz w:val="18"/>
      <w:szCs w:val="18"/>
    </w:rPr>
  </w:style>
  <w:style w:type="paragraph" w:styleId="17">
    <w:name w:val="annotation text"/>
    <w:basedOn w:val="1"/>
    <w:link w:val="38"/>
    <w:unhideWhenUsed/>
    <w:qFormat/>
    <w:uiPriority w:val="99"/>
    <w:rPr>
      <w:sz w:val="20"/>
      <w:szCs w:val="20"/>
    </w:rPr>
  </w:style>
  <w:style w:type="paragraph" w:styleId="18">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9">
    <w:name w:val="Body Text Indent"/>
    <w:basedOn w:val="1"/>
    <w:link w:val="73"/>
    <w:unhideWhenUsed/>
    <w:qFormat/>
    <w:uiPriority w:val="99"/>
    <w:pPr>
      <w:spacing w:after="120"/>
      <w:ind w:left="360"/>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7"/>
    <w:next w:val="17"/>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字符"/>
    <w:link w:val="22"/>
    <w:semiHidden/>
    <w:qFormat/>
    <w:uiPriority w:val="99"/>
    <w:rPr>
      <w:rFonts w:ascii="Tahoma" w:hAnsi="Tahoma" w:cs="Tahoma"/>
      <w:sz w:val="16"/>
      <w:szCs w:val="16"/>
    </w:rPr>
  </w:style>
  <w:style w:type="character" w:customStyle="1" w:styleId="35">
    <w:name w:val="标题 1 字符"/>
    <w:link w:val="2"/>
    <w:qFormat/>
    <w:uiPriority w:val="0"/>
    <w:rPr>
      <w:rFonts w:ascii="Arial" w:hAnsi="Arial" w:eastAsia="黑体"/>
      <w:b/>
      <w:bCs/>
      <w:sz w:val="30"/>
      <w:szCs w:val="30"/>
      <w:lang w:val="zh-CN"/>
    </w:rPr>
  </w:style>
  <w:style w:type="character" w:customStyle="1" w:styleId="36">
    <w:name w:val="页眉 字符"/>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字符"/>
    <w:basedOn w:val="29"/>
    <w:link w:val="17"/>
    <w:qFormat/>
    <w:uiPriority w:val="99"/>
  </w:style>
  <w:style w:type="character" w:customStyle="1" w:styleId="39">
    <w:name w:val="批注主题 字符"/>
    <w:link w:val="26"/>
    <w:semiHidden/>
    <w:qFormat/>
    <w:uiPriority w:val="99"/>
    <w:rPr>
      <w:b/>
      <w:bCs/>
    </w:rPr>
  </w:style>
  <w:style w:type="character" w:customStyle="1" w:styleId="40">
    <w:name w:val="文档结构图 字符"/>
    <w:link w:val="16"/>
    <w:semiHidden/>
    <w:qFormat/>
    <w:uiPriority w:val="99"/>
    <w:rPr>
      <w:rFonts w:ascii="宋体"/>
      <w:sz w:val="18"/>
      <w:szCs w:val="18"/>
    </w:rPr>
  </w:style>
  <w:style w:type="character" w:customStyle="1" w:styleId="41">
    <w:name w:val="正文文本 字符"/>
    <w:link w:val="18"/>
    <w:qFormat/>
    <w:uiPriority w:val="0"/>
    <w:rPr>
      <w:rFonts w:ascii="Times New Roman" w:hAnsi="Times New Roman"/>
      <w:color w:val="0000FF"/>
      <w:kern w:val="2"/>
      <w:sz w:val="21"/>
    </w:rPr>
  </w:style>
  <w:style w:type="character" w:customStyle="1" w:styleId="42">
    <w:name w:val="题注 字符"/>
    <w:link w:val="15"/>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字符"/>
    <w:link w:val="23"/>
    <w:qFormat/>
    <w:uiPriority w:val="99"/>
    <w:rPr>
      <w:sz w:val="18"/>
      <w:szCs w:val="18"/>
    </w:rPr>
  </w:style>
  <w:style w:type="character" w:customStyle="1" w:styleId="45">
    <w:name w:val="标题 2 字符"/>
    <w:link w:val="3"/>
    <w:qFormat/>
    <w:uiPriority w:val="0"/>
    <w:rPr>
      <w:rFonts w:ascii="Times New Roman" w:hAnsi="Times New Roman" w:eastAsiaTheme="minorEastAsia"/>
      <w:b/>
      <w:bCs/>
      <w:sz w:val="32"/>
      <w:szCs w:val="32"/>
      <w:lang w:val="en-US" w:eastAsia="zh-CN"/>
    </w:rPr>
  </w:style>
  <w:style w:type="character" w:customStyle="1" w:styleId="46">
    <w:name w:val="标题 3 字符"/>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字符"/>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字符"/>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字符"/>
    <w:link w:val="5"/>
    <w:qFormat/>
    <w:uiPriority w:val="0"/>
    <w:rPr>
      <w:rFonts w:ascii="Times New Roman" w:hAnsi="Times New Roman"/>
      <w:b/>
      <w:sz w:val="28"/>
      <w:szCs w:val="28"/>
      <w:lang w:val="en-GB"/>
    </w:rPr>
  </w:style>
  <w:style w:type="character" w:customStyle="1" w:styleId="66">
    <w:name w:val="标题 5 字符"/>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字符"/>
    <w:basedOn w:val="29"/>
    <w:link w:val="19"/>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4"/>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3"/>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F2623-5B6C-42C3-A042-3814D60B72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3315</Words>
  <Characters>18899</Characters>
  <Lines>157</Lines>
  <Paragraphs>44</Paragraphs>
  <TotalTime>1</TotalTime>
  <ScaleCrop>false</ScaleCrop>
  <LinksUpToDate>false</LinksUpToDate>
  <CharactersWithSpaces>22170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2023-02-16T11:35:10Z</dcterms:modified>
  <cp:revision>983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